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CF4B0" w14:textId="2BF03F66" w:rsidR="008E0D1D" w:rsidRDefault="001D0A7B" w:rsidP="00A364F8">
      <w:pPr>
        <w:pStyle w:val="Heading2"/>
        <w:jc w:val="center"/>
        <w:rPr>
          <w:rFonts w:ascii="Arial" w:eastAsia="Arial" w:hAnsi="Arial" w:cs="Arial"/>
          <w:color w:val="000000"/>
        </w:rPr>
      </w:pPr>
      <w:bookmarkStart w:id="0" w:name="_heading=h.wyiq8k6dlr8g" w:colFirst="0" w:colLast="0"/>
      <w:bookmarkEnd w:id="0"/>
      <w:r>
        <w:rPr>
          <w:rFonts w:ascii="Arial" w:eastAsia="Arial" w:hAnsi="Arial" w:cs="Arial"/>
          <w:color w:val="000000"/>
        </w:rPr>
        <w:t xml:space="preserve"> </w:t>
      </w:r>
    </w:p>
    <w:p w14:paraId="2333D5E9" w14:textId="77777777" w:rsidR="008E0D1D" w:rsidRDefault="001D0A7B">
      <w:pPr>
        <w:pStyle w:val="Heading2"/>
        <w:jc w:val="center"/>
        <w:rPr>
          <w:rFonts w:ascii="Arial" w:eastAsia="Arial" w:hAnsi="Arial" w:cs="Arial"/>
          <w:color w:val="000000"/>
        </w:rPr>
      </w:pPr>
      <w:bookmarkStart w:id="1" w:name="bookmark=id.4cdr13ybre9c" w:colFirst="0" w:colLast="0"/>
      <w:bookmarkStart w:id="2" w:name="bookmark=id.az2shc1vu66o" w:colFirst="0" w:colLast="0"/>
      <w:bookmarkStart w:id="3" w:name="_heading=h.evcr517ocvc5" w:colFirst="0" w:colLast="0"/>
      <w:bookmarkEnd w:id="1"/>
      <w:bookmarkEnd w:id="2"/>
      <w:bookmarkEnd w:id="3"/>
      <w:r>
        <w:rPr>
          <w:rFonts w:ascii="Arial" w:eastAsia="Arial" w:hAnsi="Arial" w:cs="Arial"/>
          <w:color w:val="000000"/>
        </w:rPr>
        <w:t>Sustainability and Environmental Policy</w:t>
      </w:r>
    </w:p>
    <w:p w14:paraId="16A21A8C" w14:textId="77777777" w:rsidR="008E0D1D" w:rsidRDefault="001D0A7B">
      <w:pPr>
        <w:keepNext/>
        <w:numPr>
          <w:ilvl w:val="0"/>
          <w:numId w:val="1"/>
        </w:numPr>
        <w:pBdr>
          <w:top w:val="nil"/>
          <w:left w:val="nil"/>
          <w:bottom w:val="nil"/>
          <w:right w:val="nil"/>
          <w:between w:val="nil"/>
        </w:pBdr>
        <w:spacing w:before="100" w:after="200"/>
      </w:pPr>
      <w:r>
        <w:rPr>
          <w:b/>
          <w:color w:val="000000"/>
        </w:rPr>
        <w:t>Definitions</w:t>
      </w:r>
    </w:p>
    <w:p w14:paraId="63E12A99" w14:textId="77777777" w:rsidR="008E0D1D" w:rsidRDefault="001D0A7B">
      <w:pPr>
        <w:numPr>
          <w:ilvl w:val="1"/>
          <w:numId w:val="1"/>
        </w:numPr>
        <w:pBdr>
          <w:top w:val="nil"/>
          <w:left w:val="nil"/>
          <w:bottom w:val="nil"/>
          <w:right w:val="nil"/>
          <w:between w:val="nil"/>
        </w:pBdr>
        <w:spacing w:before="100" w:after="200"/>
      </w:pPr>
      <w:bookmarkStart w:id="4" w:name="_heading=h.2og80euxkqow" w:colFirst="0" w:colLast="0"/>
      <w:bookmarkEnd w:id="4"/>
      <w:r>
        <w:rPr>
          <w:color w:val="000000"/>
        </w:rPr>
        <w:t xml:space="preserve">In this Annex </w:t>
      </w:r>
      <w:r>
        <w:t>F</w:t>
      </w:r>
      <w:r>
        <w:rPr>
          <w:color w:val="000000"/>
        </w:rPr>
        <w:t>, the following definitions shall apply:</w:t>
      </w:r>
    </w:p>
    <w:tbl>
      <w:tblPr>
        <w:tblStyle w:val="a"/>
        <w:tblW w:w="9638" w:type="dxa"/>
        <w:tblInd w:w="624" w:type="dxa"/>
        <w:tblLayout w:type="fixed"/>
        <w:tblLook w:val="0400" w:firstRow="0" w:lastRow="0" w:firstColumn="0" w:lastColumn="0" w:noHBand="0" w:noVBand="1"/>
      </w:tblPr>
      <w:tblGrid>
        <w:gridCol w:w="2835"/>
        <w:gridCol w:w="6803"/>
      </w:tblGrid>
      <w:tr w:rsidR="008E0D1D" w14:paraId="1D8EF910" w14:textId="77777777">
        <w:tc>
          <w:tcPr>
            <w:tcW w:w="2835" w:type="dxa"/>
          </w:tcPr>
          <w:p w14:paraId="502C2332" w14:textId="77777777" w:rsidR="008E0D1D" w:rsidRDefault="001D0A7B">
            <w:pPr>
              <w:pBdr>
                <w:top w:val="nil"/>
                <w:left w:val="nil"/>
                <w:bottom w:val="nil"/>
                <w:right w:val="nil"/>
                <w:between w:val="nil"/>
              </w:pBdr>
              <w:spacing w:before="100" w:after="200"/>
              <w:rPr>
                <w:b/>
                <w:color w:val="000000"/>
              </w:rPr>
            </w:pPr>
            <w:r>
              <w:rPr>
                <w:b/>
                <w:color w:val="000000"/>
              </w:rPr>
              <w:t>“Permitted Item”</w:t>
            </w:r>
          </w:p>
        </w:tc>
        <w:tc>
          <w:tcPr>
            <w:tcW w:w="6803" w:type="dxa"/>
          </w:tcPr>
          <w:p w14:paraId="484F196B" w14:textId="77777777" w:rsidR="008E0D1D" w:rsidRDefault="001D0A7B">
            <w:pPr>
              <w:pBdr>
                <w:top w:val="nil"/>
                <w:left w:val="nil"/>
                <w:bottom w:val="nil"/>
                <w:right w:val="nil"/>
                <w:between w:val="nil"/>
              </w:pBdr>
              <w:spacing w:before="100" w:after="200"/>
              <w:rPr>
                <w:color w:val="000000"/>
              </w:rPr>
            </w:pPr>
            <w:bookmarkStart w:id="5" w:name="_heading=h.vii5k2a1z91p" w:colFirst="0" w:colLast="0"/>
            <w:bookmarkEnd w:id="5"/>
            <w:r>
              <w:rPr>
                <w:color w:val="000000"/>
              </w:rPr>
              <w:t>those items which are permissible under this Contract to the extent set out in Table B of this Annex 1;</w:t>
            </w:r>
          </w:p>
        </w:tc>
      </w:tr>
      <w:tr w:rsidR="008E0D1D" w14:paraId="09DDE5CF" w14:textId="77777777">
        <w:tc>
          <w:tcPr>
            <w:tcW w:w="2835" w:type="dxa"/>
          </w:tcPr>
          <w:p w14:paraId="10F59077" w14:textId="77777777" w:rsidR="008E0D1D" w:rsidRDefault="001D0A7B">
            <w:pPr>
              <w:pBdr>
                <w:top w:val="nil"/>
                <w:left w:val="nil"/>
                <w:bottom w:val="nil"/>
                <w:right w:val="nil"/>
                <w:between w:val="nil"/>
              </w:pBdr>
              <w:spacing w:before="100" w:after="200"/>
              <w:rPr>
                <w:b/>
                <w:color w:val="000000"/>
              </w:rPr>
            </w:pPr>
            <w:r>
              <w:rPr>
                <w:b/>
                <w:color w:val="000000"/>
              </w:rPr>
              <w:t>“Prohibited Items”</w:t>
            </w:r>
          </w:p>
        </w:tc>
        <w:tc>
          <w:tcPr>
            <w:tcW w:w="6803" w:type="dxa"/>
          </w:tcPr>
          <w:p w14:paraId="37B3DACE" w14:textId="77777777" w:rsidR="008E0D1D" w:rsidRDefault="001D0A7B">
            <w:pPr>
              <w:pBdr>
                <w:top w:val="nil"/>
                <w:left w:val="nil"/>
                <w:bottom w:val="nil"/>
                <w:right w:val="nil"/>
                <w:between w:val="nil"/>
              </w:pBdr>
              <w:spacing w:before="100" w:after="200"/>
              <w:rPr>
                <w:color w:val="000000"/>
              </w:rPr>
            </w:pPr>
            <w:bookmarkStart w:id="6" w:name="_heading=h.gx83vtigfdc4" w:colFirst="0" w:colLast="0"/>
            <w:bookmarkEnd w:id="6"/>
            <w:r>
              <w:rPr>
                <w:color w:val="000000"/>
              </w:rPr>
              <w:t>those items which are not permissible under this Contract as set out at Table A of this Annex 1;</w:t>
            </w:r>
          </w:p>
        </w:tc>
      </w:tr>
      <w:tr w:rsidR="008E0D1D" w14:paraId="19109BCD" w14:textId="77777777">
        <w:tc>
          <w:tcPr>
            <w:tcW w:w="2835" w:type="dxa"/>
          </w:tcPr>
          <w:p w14:paraId="20C5E8EE" w14:textId="77777777" w:rsidR="008E0D1D" w:rsidRDefault="001D0A7B">
            <w:pPr>
              <w:pBdr>
                <w:top w:val="nil"/>
                <w:left w:val="nil"/>
                <w:bottom w:val="nil"/>
                <w:right w:val="nil"/>
                <w:between w:val="nil"/>
              </w:pBdr>
              <w:spacing w:before="100" w:after="200"/>
              <w:rPr>
                <w:b/>
                <w:color w:val="000000"/>
              </w:rPr>
            </w:pPr>
            <w:r>
              <w:rPr>
                <w:b/>
                <w:color w:val="000000"/>
              </w:rPr>
              <w:t>“Sustainability Reports”</w:t>
            </w:r>
          </w:p>
        </w:tc>
        <w:tc>
          <w:tcPr>
            <w:tcW w:w="6803" w:type="dxa"/>
          </w:tcPr>
          <w:p w14:paraId="6385A4D0" w14:textId="77777777" w:rsidR="008E0D1D" w:rsidRDefault="001D0A7B">
            <w:pPr>
              <w:pBdr>
                <w:top w:val="nil"/>
                <w:left w:val="nil"/>
                <w:bottom w:val="nil"/>
                <w:right w:val="nil"/>
                <w:between w:val="nil"/>
              </w:pBdr>
              <w:spacing w:before="100" w:after="200"/>
              <w:rPr>
                <w:color w:val="000000"/>
              </w:rPr>
            </w:pPr>
            <w:bookmarkStart w:id="7" w:name="_heading=h.ub7ulee68fx" w:colFirst="0" w:colLast="0"/>
            <w:bookmarkEnd w:id="7"/>
            <w:r>
              <w:rPr>
                <w:color w:val="000000"/>
              </w:rPr>
              <w:t>written reports to be completed by the Supplier containing the information outlined in Table C of this Annex 1; and</w:t>
            </w:r>
          </w:p>
        </w:tc>
      </w:tr>
      <w:tr w:rsidR="008E0D1D" w14:paraId="0FA22FF0" w14:textId="77777777">
        <w:tc>
          <w:tcPr>
            <w:tcW w:w="2835" w:type="dxa"/>
          </w:tcPr>
          <w:p w14:paraId="2D35D1F4" w14:textId="77777777" w:rsidR="008E0D1D" w:rsidRDefault="001D0A7B">
            <w:pPr>
              <w:pBdr>
                <w:top w:val="nil"/>
                <w:left w:val="nil"/>
                <w:bottom w:val="nil"/>
                <w:right w:val="nil"/>
                <w:between w:val="nil"/>
              </w:pBdr>
              <w:spacing w:before="100" w:after="200"/>
              <w:rPr>
                <w:b/>
                <w:color w:val="000000"/>
              </w:rPr>
            </w:pPr>
            <w:r>
              <w:rPr>
                <w:b/>
                <w:color w:val="000000"/>
              </w:rPr>
              <w:t>“Waste Hierarchy”</w:t>
            </w:r>
          </w:p>
        </w:tc>
        <w:tc>
          <w:tcPr>
            <w:tcW w:w="6803" w:type="dxa"/>
          </w:tcPr>
          <w:p w14:paraId="04C44640" w14:textId="77777777" w:rsidR="008E0D1D" w:rsidRDefault="001D0A7B">
            <w:pPr>
              <w:pBdr>
                <w:top w:val="nil"/>
                <w:left w:val="nil"/>
                <w:bottom w:val="nil"/>
                <w:right w:val="nil"/>
                <w:between w:val="nil"/>
              </w:pBdr>
              <w:spacing w:before="100" w:after="200"/>
              <w:rPr>
                <w:color w:val="000000"/>
              </w:rPr>
            </w:pPr>
            <w:r>
              <w:rPr>
                <w:color w:val="000000"/>
              </w:rPr>
              <w:t>prioritisation of waste management in the following order of preference as set out in the Waste (England and Wales) Regulation 2011:</w:t>
            </w:r>
          </w:p>
          <w:p w14:paraId="78C7B919" w14:textId="77777777" w:rsidR="008E0D1D" w:rsidRDefault="001D0A7B">
            <w:pPr>
              <w:numPr>
                <w:ilvl w:val="0"/>
                <w:numId w:val="6"/>
              </w:numPr>
              <w:pBdr>
                <w:top w:val="nil"/>
                <w:left w:val="nil"/>
                <w:bottom w:val="nil"/>
                <w:right w:val="nil"/>
                <w:between w:val="nil"/>
              </w:pBdr>
              <w:spacing w:before="100" w:after="200"/>
            </w:pPr>
            <w:r>
              <w:rPr>
                <w:color w:val="000000"/>
              </w:rPr>
              <w:t>Prevention;</w:t>
            </w:r>
          </w:p>
          <w:p w14:paraId="2114E899" w14:textId="77777777" w:rsidR="008E0D1D" w:rsidRDefault="001D0A7B">
            <w:pPr>
              <w:numPr>
                <w:ilvl w:val="0"/>
                <w:numId w:val="6"/>
              </w:numPr>
              <w:pBdr>
                <w:top w:val="nil"/>
                <w:left w:val="nil"/>
                <w:bottom w:val="nil"/>
                <w:right w:val="nil"/>
                <w:between w:val="nil"/>
              </w:pBdr>
              <w:spacing w:before="100" w:after="200"/>
            </w:pPr>
            <w:r>
              <w:rPr>
                <w:color w:val="000000"/>
              </w:rPr>
              <w:t>Preparing for re-use;</w:t>
            </w:r>
          </w:p>
          <w:p w14:paraId="3A2BFA71" w14:textId="77777777" w:rsidR="008E0D1D" w:rsidRDefault="001D0A7B">
            <w:pPr>
              <w:numPr>
                <w:ilvl w:val="0"/>
                <w:numId w:val="6"/>
              </w:numPr>
              <w:pBdr>
                <w:top w:val="nil"/>
                <w:left w:val="nil"/>
                <w:bottom w:val="nil"/>
                <w:right w:val="nil"/>
                <w:between w:val="nil"/>
              </w:pBdr>
              <w:spacing w:before="100" w:after="200"/>
            </w:pPr>
            <w:r>
              <w:rPr>
                <w:color w:val="000000"/>
              </w:rPr>
              <w:t>Recycling;</w:t>
            </w:r>
          </w:p>
          <w:p w14:paraId="4433981E" w14:textId="77777777" w:rsidR="008E0D1D" w:rsidRDefault="001D0A7B">
            <w:pPr>
              <w:numPr>
                <w:ilvl w:val="0"/>
                <w:numId w:val="6"/>
              </w:numPr>
              <w:pBdr>
                <w:top w:val="nil"/>
                <w:left w:val="nil"/>
                <w:bottom w:val="nil"/>
                <w:right w:val="nil"/>
                <w:between w:val="nil"/>
              </w:pBdr>
              <w:spacing w:before="100" w:after="200"/>
            </w:pPr>
            <w:r>
              <w:rPr>
                <w:color w:val="000000"/>
              </w:rPr>
              <w:t>Other Recovery; and</w:t>
            </w:r>
          </w:p>
          <w:p w14:paraId="0A5F934A" w14:textId="77777777" w:rsidR="008E0D1D" w:rsidRDefault="001D0A7B">
            <w:pPr>
              <w:numPr>
                <w:ilvl w:val="0"/>
                <w:numId w:val="6"/>
              </w:numPr>
              <w:pBdr>
                <w:top w:val="nil"/>
                <w:left w:val="nil"/>
                <w:bottom w:val="nil"/>
                <w:right w:val="nil"/>
                <w:between w:val="nil"/>
              </w:pBdr>
              <w:spacing w:before="100" w:after="200"/>
              <w:rPr>
                <w:color w:val="000000"/>
              </w:rPr>
            </w:pPr>
            <w:r>
              <w:rPr>
                <w:color w:val="000000"/>
              </w:rPr>
              <w:t>Disposal.</w:t>
            </w:r>
          </w:p>
        </w:tc>
      </w:tr>
    </w:tbl>
    <w:p w14:paraId="5C15CA8D" w14:textId="77777777" w:rsidR="008E0D1D" w:rsidRDefault="001D0A7B">
      <w:pPr>
        <w:keepNext/>
        <w:numPr>
          <w:ilvl w:val="0"/>
          <w:numId w:val="1"/>
        </w:numPr>
        <w:pBdr>
          <w:top w:val="nil"/>
          <w:left w:val="nil"/>
          <w:bottom w:val="nil"/>
          <w:right w:val="nil"/>
          <w:between w:val="nil"/>
        </w:pBdr>
        <w:spacing w:before="100" w:after="200"/>
        <w:ind w:left="1080"/>
      </w:pPr>
      <w:r>
        <w:rPr>
          <w:b/>
          <w:color w:val="000000"/>
        </w:rPr>
        <w:t>Public Sector Equality Duty</w:t>
      </w:r>
    </w:p>
    <w:p w14:paraId="4B085E2F" w14:textId="77777777" w:rsidR="008E0D1D" w:rsidRDefault="001D0A7B">
      <w:pPr>
        <w:numPr>
          <w:ilvl w:val="1"/>
          <w:numId w:val="1"/>
        </w:numPr>
        <w:pBdr>
          <w:top w:val="nil"/>
          <w:left w:val="nil"/>
          <w:bottom w:val="nil"/>
          <w:right w:val="nil"/>
          <w:between w:val="nil"/>
        </w:pBdr>
        <w:spacing w:before="100" w:after="200"/>
        <w:ind w:left="1080"/>
      </w:pPr>
      <w:bookmarkStart w:id="8" w:name="_heading=h.lqbunyc86mpj" w:colFirst="0" w:colLast="0"/>
      <w:bookmarkEnd w:id="8"/>
      <w:r>
        <w:rPr>
          <w:color w:val="000000"/>
        </w:rPr>
        <w:t xml:space="preserve">In addition to legal obligations, where the Supplier is providing a Service to which the Public Sector Equality duty applies, the Supplier shall support the </w:t>
      </w:r>
      <w:r>
        <w:t>Buyer</w:t>
      </w:r>
      <w:r>
        <w:rPr>
          <w:color w:val="000000"/>
        </w:rPr>
        <w:t xml:space="preserve"> in fulfilling its Public Sector Equality duty under S149 of the Equality Act 2010 by ensuring that it fulfils its obligations under the Contract in a way that seeks to:</w:t>
      </w:r>
    </w:p>
    <w:p w14:paraId="1B121E8C" w14:textId="77777777" w:rsidR="008E0D1D" w:rsidRDefault="001D0A7B">
      <w:pPr>
        <w:widowControl w:val="0"/>
        <w:numPr>
          <w:ilvl w:val="2"/>
          <w:numId w:val="1"/>
        </w:numPr>
        <w:pBdr>
          <w:top w:val="nil"/>
          <w:left w:val="nil"/>
          <w:bottom w:val="nil"/>
          <w:right w:val="nil"/>
          <w:between w:val="nil"/>
        </w:pBdr>
        <w:spacing w:before="100" w:after="200"/>
        <w:ind w:left="1890" w:hanging="810"/>
      </w:pPr>
      <w:r>
        <w:rPr>
          <w:color w:val="000000"/>
        </w:rPr>
        <w:t>eliminate discrimination, harassment or victimisation and any other conduct prohibited by the Equality Act 2010; and</w:t>
      </w:r>
    </w:p>
    <w:p w14:paraId="212AA2CC" w14:textId="77777777" w:rsidR="008E0D1D" w:rsidRDefault="001D0A7B">
      <w:pPr>
        <w:keepNext/>
        <w:widowControl w:val="0"/>
        <w:numPr>
          <w:ilvl w:val="2"/>
          <w:numId w:val="1"/>
        </w:numPr>
        <w:pBdr>
          <w:top w:val="nil"/>
          <w:left w:val="nil"/>
          <w:bottom w:val="nil"/>
          <w:right w:val="nil"/>
          <w:between w:val="nil"/>
        </w:pBdr>
        <w:spacing w:before="100" w:after="200"/>
        <w:ind w:left="1890" w:hanging="810"/>
      </w:pPr>
      <w:r>
        <w:rPr>
          <w:color w:val="000000"/>
        </w:rPr>
        <w:t>advance:</w:t>
      </w:r>
    </w:p>
    <w:p w14:paraId="7BB43FF3" w14:textId="77777777" w:rsidR="008E0D1D" w:rsidRDefault="001D0A7B">
      <w:pPr>
        <w:numPr>
          <w:ilvl w:val="3"/>
          <w:numId w:val="1"/>
        </w:numPr>
        <w:pBdr>
          <w:top w:val="nil"/>
          <w:left w:val="nil"/>
          <w:bottom w:val="nil"/>
          <w:right w:val="nil"/>
          <w:between w:val="nil"/>
        </w:pBdr>
        <w:spacing w:before="100" w:after="200"/>
        <w:ind w:left="2610"/>
      </w:pPr>
      <w:r>
        <w:rPr>
          <w:color w:val="000000"/>
        </w:rPr>
        <w:t xml:space="preserve">equality of opportunity; and </w:t>
      </w:r>
    </w:p>
    <w:p w14:paraId="4D06574B" w14:textId="77777777" w:rsidR="008E0D1D" w:rsidRDefault="001D0A7B">
      <w:pPr>
        <w:numPr>
          <w:ilvl w:val="3"/>
          <w:numId w:val="1"/>
        </w:numPr>
        <w:pBdr>
          <w:top w:val="nil"/>
          <w:left w:val="nil"/>
          <w:bottom w:val="nil"/>
          <w:right w:val="nil"/>
          <w:between w:val="nil"/>
        </w:pBdr>
        <w:spacing w:before="100" w:after="200"/>
        <w:ind w:left="2610"/>
      </w:pPr>
      <w:r>
        <w:rPr>
          <w:color w:val="000000"/>
        </w:rPr>
        <w:t xml:space="preserve">good </w:t>
      </w:r>
      <w:proofErr w:type="spellStart"/>
      <w:proofErr w:type="gramStart"/>
      <w:r>
        <w:rPr>
          <w:color w:val="000000"/>
        </w:rPr>
        <w:t>relations,between</w:t>
      </w:r>
      <w:proofErr w:type="spellEnd"/>
      <w:proofErr w:type="gramEnd"/>
      <w:r>
        <w:rPr>
          <w:color w:val="000000"/>
        </w:rPr>
        <w:t xml:space="preserve"> those with a protected characteristic (age, disability, gender reassignment, pregnancy and maternity, race, religion or belief, sex, sexual orientation, </w:t>
      </w:r>
      <w:r>
        <w:rPr>
          <w:color w:val="000000"/>
        </w:rPr>
        <w:lastRenderedPageBreak/>
        <w:t>and marriage and civil partnership) and those who do not share it.</w:t>
      </w:r>
    </w:p>
    <w:p w14:paraId="074FC891" w14:textId="77777777" w:rsidR="008E0D1D" w:rsidRDefault="001D0A7B">
      <w:pPr>
        <w:numPr>
          <w:ilvl w:val="1"/>
          <w:numId w:val="1"/>
        </w:numPr>
        <w:pBdr>
          <w:top w:val="nil"/>
          <w:left w:val="nil"/>
          <w:bottom w:val="nil"/>
          <w:right w:val="nil"/>
          <w:between w:val="nil"/>
        </w:pBdr>
        <w:spacing w:before="100" w:after="200"/>
      </w:pPr>
      <w:bookmarkStart w:id="9" w:name="_heading=h.fxcmyexi0xan" w:colFirst="0" w:colLast="0"/>
      <w:bookmarkEnd w:id="9"/>
      <w:r>
        <w:rPr>
          <w:color w:val="000000"/>
        </w:rPr>
        <w:t xml:space="preserve">In delivering the Service, the Supplier will comply with the </w:t>
      </w:r>
      <w:r>
        <w:t>Buyer</w:t>
      </w:r>
      <w:r>
        <w:rPr>
          <w:color w:val="000000"/>
        </w:rPr>
        <w:t>’s equality, diversity and inclusion requirements, to be provided to the Supplier by the</w:t>
      </w:r>
      <w:r>
        <w:t xml:space="preserve"> Buyer.</w:t>
      </w:r>
    </w:p>
    <w:p w14:paraId="1ACE20DE" w14:textId="77777777" w:rsidR="008E0D1D" w:rsidRDefault="001D0A7B">
      <w:pPr>
        <w:numPr>
          <w:ilvl w:val="1"/>
          <w:numId w:val="1"/>
        </w:numPr>
        <w:pBdr>
          <w:top w:val="nil"/>
          <w:left w:val="nil"/>
          <w:bottom w:val="nil"/>
          <w:right w:val="nil"/>
          <w:between w:val="nil"/>
        </w:pBdr>
        <w:spacing w:before="100" w:after="200"/>
      </w:pPr>
      <w:bookmarkStart w:id="10" w:name="_heading=h.u0g9m1yc6mes" w:colFirst="0" w:colLast="0"/>
      <w:bookmarkEnd w:id="10"/>
      <w:r>
        <w:rPr>
          <w:color w:val="000000"/>
        </w:rPr>
        <w:t>The Supplier shall ensure that it fulfils its obligations under the Contract in a way that does not discriminate against individuals because of socio-economic background, working pattern or having parental or other caring responsibilities.</w:t>
      </w:r>
    </w:p>
    <w:p w14:paraId="70CFB558" w14:textId="77777777" w:rsidR="008E0D1D" w:rsidRDefault="001D0A7B">
      <w:pPr>
        <w:keepNext/>
        <w:numPr>
          <w:ilvl w:val="0"/>
          <w:numId w:val="1"/>
        </w:numPr>
        <w:pBdr>
          <w:top w:val="nil"/>
          <w:left w:val="nil"/>
          <w:bottom w:val="nil"/>
          <w:right w:val="nil"/>
          <w:between w:val="nil"/>
        </w:pBdr>
        <w:spacing w:before="100" w:after="200"/>
      </w:pPr>
      <w:r>
        <w:rPr>
          <w:b/>
          <w:color w:val="000000"/>
        </w:rPr>
        <w:t>Environmental Requirements</w:t>
      </w:r>
    </w:p>
    <w:p w14:paraId="6B6CE2DC" w14:textId="77777777" w:rsidR="008E0D1D" w:rsidRDefault="001D0A7B">
      <w:pPr>
        <w:numPr>
          <w:ilvl w:val="1"/>
          <w:numId w:val="1"/>
        </w:numPr>
        <w:pBdr>
          <w:top w:val="nil"/>
          <w:left w:val="nil"/>
          <w:bottom w:val="nil"/>
          <w:right w:val="nil"/>
          <w:between w:val="nil"/>
        </w:pBdr>
        <w:spacing w:before="100" w:after="200"/>
      </w:pPr>
      <w:bookmarkStart w:id="11" w:name="_heading=h.uxxgpe1mjhik" w:colFirst="0" w:colLast="0"/>
      <w:bookmarkEnd w:id="11"/>
      <w:r>
        <w:rPr>
          <w:color w:val="000000"/>
        </w:rPr>
        <w:t xml:space="preserve">The Supplier must perform its obligations meeting in all material respects the requirements of all applicable Laws regarding the environment. </w:t>
      </w:r>
    </w:p>
    <w:p w14:paraId="4B47EF5B" w14:textId="77777777" w:rsidR="008E0D1D" w:rsidRDefault="001D0A7B">
      <w:pPr>
        <w:numPr>
          <w:ilvl w:val="1"/>
          <w:numId w:val="1"/>
        </w:numPr>
        <w:pBdr>
          <w:top w:val="nil"/>
          <w:left w:val="nil"/>
          <w:bottom w:val="nil"/>
          <w:right w:val="nil"/>
          <w:between w:val="nil"/>
        </w:pBdr>
        <w:spacing w:before="100" w:after="200"/>
      </w:pPr>
      <w:r>
        <w:rPr>
          <w:color w:val="000000"/>
        </w:rPr>
        <w:t xml:space="preserve">The Supplier warrants that it has a sound environmental management policy and has obtained certification, or is working towards certification, for its environmental management from a recognised body, as agreed by the </w:t>
      </w:r>
      <w:r>
        <w:t>Buyer</w:t>
      </w:r>
      <w:r>
        <w:rPr>
          <w:color w:val="000000"/>
        </w:rPr>
        <w:t>, and shall comply with and maintain certification requirements throughout the Term.</w:t>
      </w:r>
    </w:p>
    <w:p w14:paraId="21B66362" w14:textId="77777777" w:rsidR="008E0D1D" w:rsidRDefault="001D0A7B">
      <w:pPr>
        <w:numPr>
          <w:ilvl w:val="1"/>
          <w:numId w:val="1"/>
        </w:numPr>
        <w:pBdr>
          <w:top w:val="nil"/>
          <w:left w:val="nil"/>
          <w:bottom w:val="nil"/>
          <w:right w:val="nil"/>
          <w:between w:val="nil"/>
        </w:pBdr>
        <w:spacing w:before="100" w:after="200"/>
      </w:pPr>
      <w:r>
        <w:rPr>
          <w:color w:val="000000"/>
        </w:rPr>
        <w:t xml:space="preserve">In performing its obligations under the </w:t>
      </w:r>
      <w:proofErr w:type="gramStart"/>
      <w:r>
        <w:rPr>
          <w:color w:val="000000"/>
        </w:rPr>
        <w:t>Contract</w:t>
      </w:r>
      <w:proofErr w:type="gramEnd"/>
      <w:r>
        <w:rPr>
          <w:color w:val="000000"/>
        </w:rPr>
        <w:t xml:space="preserve"> the Supplier shall, where applicable to the Contract, to the reasonable satisfaction of the </w:t>
      </w:r>
      <w:r>
        <w:t>Buyer</w:t>
      </w:r>
      <w:r>
        <w:rPr>
          <w:color w:val="000000"/>
        </w:rPr>
        <w:t>:</w:t>
      </w:r>
    </w:p>
    <w:p w14:paraId="6D0F5A99" w14:textId="77777777" w:rsidR="008E0D1D" w:rsidRDefault="001D0A7B">
      <w:pPr>
        <w:widowControl w:val="0"/>
        <w:numPr>
          <w:ilvl w:val="2"/>
          <w:numId w:val="1"/>
        </w:numPr>
        <w:pBdr>
          <w:top w:val="nil"/>
          <w:left w:val="nil"/>
          <w:bottom w:val="nil"/>
          <w:right w:val="nil"/>
          <w:between w:val="nil"/>
        </w:pBdr>
        <w:spacing w:before="100" w:after="200"/>
        <w:ind w:left="1440" w:hanging="720"/>
      </w:pPr>
      <w:r>
        <w:rPr>
          <w:color w:val="000000"/>
        </w:rPr>
        <w:t xml:space="preserve">demonstrate low carbon resource efficiency, including minimising the use of resources and responding promptly to the </w:t>
      </w:r>
      <w:r>
        <w:t>Buyer</w:t>
      </w:r>
      <w:r>
        <w:rPr>
          <w:color w:val="000000"/>
        </w:rPr>
        <w:t>’s reasonable questions;</w:t>
      </w:r>
    </w:p>
    <w:p w14:paraId="0113A209" w14:textId="77777777" w:rsidR="008E0D1D" w:rsidRDefault="001D0A7B">
      <w:pPr>
        <w:widowControl w:val="0"/>
        <w:numPr>
          <w:ilvl w:val="2"/>
          <w:numId w:val="1"/>
        </w:numPr>
        <w:pBdr>
          <w:top w:val="nil"/>
          <w:left w:val="nil"/>
          <w:bottom w:val="nil"/>
          <w:right w:val="nil"/>
          <w:between w:val="nil"/>
        </w:pBdr>
        <w:spacing w:before="100" w:after="200"/>
        <w:ind w:left="1440" w:hanging="720"/>
      </w:pPr>
      <w:r>
        <w:rPr>
          <w:color w:val="000000"/>
        </w:rPr>
        <w:t xml:space="preserve">prioritise waste management in accordance with the Waste Hierarchy as set out in Law; </w:t>
      </w:r>
    </w:p>
    <w:p w14:paraId="693BEFE2" w14:textId="77777777" w:rsidR="008E0D1D" w:rsidRDefault="001D0A7B">
      <w:pPr>
        <w:widowControl w:val="0"/>
        <w:numPr>
          <w:ilvl w:val="2"/>
          <w:numId w:val="1"/>
        </w:numPr>
        <w:pBdr>
          <w:top w:val="nil"/>
          <w:left w:val="nil"/>
          <w:bottom w:val="nil"/>
          <w:right w:val="nil"/>
          <w:between w:val="nil"/>
        </w:pBdr>
        <w:spacing w:before="100" w:after="200"/>
        <w:ind w:left="1440" w:hanging="720"/>
      </w:pPr>
      <w:r>
        <w:rPr>
          <w:color w:val="000000"/>
        </w:rPr>
        <w:t>be responsible for ensuring that any waste generated by the Supplier and sent for recycling, disposal or other recovery as a consequence of this Contract is taken by a licensed waste carrier to an authorised site for treatment or disposal and that the disposal or treatment of waste complies with the law;</w:t>
      </w:r>
    </w:p>
    <w:p w14:paraId="3B6EAF48" w14:textId="77777777" w:rsidR="008E0D1D" w:rsidRDefault="001D0A7B">
      <w:pPr>
        <w:widowControl w:val="0"/>
        <w:numPr>
          <w:ilvl w:val="2"/>
          <w:numId w:val="1"/>
        </w:numPr>
        <w:pBdr>
          <w:top w:val="nil"/>
          <w:left w:val="nil"/>
          <w:bottom w:val="nil"/>
          <w:right w:val="nil"/>
          <w:between w:val="nil"/>
        </w:pBdr>
        <w:spacing w:before="100" w:after="200"/>
        <w:ind w:left="1440" w:hanging="720"/>
      </w:pPr>
      <w:r>
        <w:rPr>
          <w:color w:val="000000"/>
        </w:rPr>
        <w:t>ensure that it and any third parties used to undertake recycling disposal or other recovery as a consequence of this Contract do so in a legally compliant way, and can demonstrate that reasonable checks are undertaken to ensure this on a regular basis and provide relevant data and evidence of recycling, recovery and disposal;</w:t>
      </w:r>
    </w:p>
    <w:p w14:paraId="20473DF7" w14:textId="77777777" w:rsidR="008E0D1D" w:rsidRDefault="001D0A7B">
      <w:pPr>
        <w:widowControl w:val="0"/>
        <w:numPr>
          <w:ilvl w:val="2"/>
          <w:numId w:val="1"/>
        </w:numPr>
        <w:pBdr>
          <w:top w:val="nil"/>
          <w:left w:val="nil"/>
          <w:bottom w:val="nil"/>
          <w:right w:val="nil"/>
          <w:between w:val="nil"/>
        </w:pBdr>
        <w:spacing w:before="100" w:after="200"/>
        <w:ind w:left="1440" w:hanging="720"/>
      </w:pPr>
      <w:r>
        <w:rPr>
          <w:color w:val="000000"/>
        </w:rPr>
        <w:t xml:space="preserve">in circumstances that a permit, licence or exemption to carry or send waste generated under this Contract is revoked, the Supplier shall cease to carry or send waste or allow waste to be carried by any Subcontractor until authorisation is obtained from the Environment Agency; minimise the release of greenhouse gases (including carbon dioxide emissions), air pollutants, volatile organic compounds and </w:t>
      </w:r>
      <w:r>
        <w:rPr>
          <w:color w:val="000000"/>
        </w:rPr>
        <w:lastRenderedPageBreak/>
        <w:t>other substances damaging to health and the environment; and</w:t>
      </w:r>
    </w:p>
    <w:p w14:paraId="6820FA47" w14:textId="77777777" w:rsidR="008E0D1D" w:rsidRDefault="001D0A7B">
      <w:pPr>
        <w:widowControl w:val="0"/>
        <w:numPr>
          <w:ilvl w:val="2"/>
          <w:numId w:val="1"/>
        </w:numPr>
        <w:pBdr>
          <w:top w:val="nil"/>
          <w:left w:val="nil"/>
          <w:bottom w:val="nil"/>
          <w:right w:val="nil"/>
          <w:between w:val="nil"/>
        </w:pBdr>
        <w:spacing w:before="100" w:after="200"/>
        <w:ind w:left="1440" w:hanging="720"/>
      </w:pPr>
      <w:r>
        <w:rPr>
          <w:color w:val="000000"/>
        </w:rPr>
        <w:t>reduce and minimise carbon emissions by taking into account factors including, but not limited to, the locations from which materials are sourced, the transport of materials, the locations from which the work force are recruited and emissions from offices and on-site equipment.</w:t>
      </w:r>
    </w:p>
    <w:p w14:paraId="542E75EB" w14:textId="77777777" w:rsidR="008E0D1D" w:rsidRDefault="001D0A7B">
      <w:pPr>
        <w:numPr>
          <w:ilvl w:val="1"/>
          <w:numId w:val="1"/>
        </w:numPr>
        <w:pBdr>
          <w:top w:val="nil"/>
          <w:left w:val="nil"/>
          <w:bottom w:val="nil"/>
          <w:right w:val="nil"/>
          <w:between w:val="nil"/>
        </w:pBdr>
        <w:spacing w:before="100" w:after="200"/>
      </w:pPr>
      <w:r>
        <w:rPr>
          <w:color w:val="000000"/>
        </w:rPr>
        <w:t xml:space="preserve">In performing its obligations under the Contract, the Supplier shall to the reasonable satisfaction of the </w:t>
      </w:r>
      <w:r>
        <w:t>Buyer</w:t>
      </w:r>
      <w:r>
        <w:rPr>
          <w:color w:val="000000"/>
        </w:rPr>
        <w:t xml:space="preserve"> (where: (</w:t>
      </w:r>
      <w:proofErr w:type="spellStart"/>
      <w:r>
        <w:rPr>
          <w:color w:val="000000"/>
        </w:rPr>
        <w:t>i</w:t>
      </w:r>
      <w:proofErr w:type="spellEnd"/>
      <w:r>
        <w:rPr>
          <w:color w:val="000000"/>
        </w:rPr>
        <w:t>) the anticipated Charges in any Contract Year are above £5 million per annum (excluding VAT); (ii) this is a public contract, other than a special regime contract under the Procurement Act 2023; and (iii) it is related to and proportionate to the contract in accordance with PPN 006), publish and maintain a credible Carbon Reduction Plan in accordance with PPN 006.</w:t>
      </w:r>
    </w:p>
    <w:p w14:paraId="156EA971" w14:textId="77777777" w:rsidR="008E0D1D" w:rsidRDefault="001D0A7B">
      <w:pPr>
        <w:numPr>
          <w:ilvl w:val="1"/>
          <w:numId w:val="1"/>
        </w:numPr>
        <w:pBdr>
          <w:top w:val="nil"/>
          <w:left w:val="nil"/>
          <w:bottom w:val="nil"/>
          <w:right w:val="nil"/>
          <w:between w:val="nil"/>
        </w:pBdr>
        <w:spacing w:before="100" w:after="200"/>
      </w:pPr>
      <w:r>
        <w:rPr>
          <w:color w:val="000000"/>
        </w:rPr>
        <w:t xml:space="preserve">The Supplier shall not provide to the </w:t>
      </w:r>
      <w:r>
        <w:t>Buyer</w:t>
      </w:r>
      <w:r>
        <w:rPr>
          <w:color w:val="000000"/>
        </w:rPr>
        <w:t xml:space="preserve"> Goods or Deliverables which comprise wholly or partly of Prohibited Items unless such item is a Permitted Item.</w:t>
      </w:r>
    </w:p>
    <w:p w14:paraId="51670B33" w14:textId="77777777" w:rsidR="008E0D1D" w:rsidRDefault="001D0A7B">
      <w:pPr>
        <w:numPr>
          <w:ilvl w:val="1"/>
          <w:numId w:val="1"/>
        </w:numPr>
        <w:pBdr>
          <w:top w:val="nil"/>
          <w:left w:val="nil"/>
          <w:bottom w:val="nil"/>
          <w:right w:val="nil"/>
          <w:between w:val="nil"/>
        </w:pBdr>
        <w:spacing w:before="100" w:after="200"/>
      </w:pPr>
      <w:bookmarkStart w:id="12" w:name="_heading=h.d3lvtrguacu7" w:colFirst="0" w:colLast="0"/>
      <w:bookmarkEnd w:id="12"/>
      <w:r>
        <w:rPr>
          <w:color w:val="000000"/>
        </w:rPr>
        <w:t>The Supplier shall not use anything which comprises wholly or partly of the Prohibited Items to provide the Services under this Contract unless:</w:t>
      </w:r>
    </w:p>
    <w:p w14:paraId="79257160" w14:textId="77777777" w:rsidR="008E0D1D" w:rsidRDefault="001D0A7B">
      <w:pPr>
        <w:widowControl w:val="0"/>
        <w:numPr>
          <w:ilvl w:val="2"/>
          <w:numId w:val="1"/>
        </w:numPr>
        <w:pBdr>
          <w:top w:val="nil"/>
          <w:left w:val="nil"/>
          <w:bottom w:val="nil"/>
          <w:right w:val="nil"/>
          <w:between w:val="nil"/>
        </w:pBdr>
        <w:spacing w:before="100" w:after="200"/>
        <w:ind w:left="1440" w:hanging="720"/>
      </w:pPr>
      <w:r>
        <w:rPr>
          <w:color w:val="000000"/>
        </w:rPr>
        <w:t xml:space="preserve">it is a Permitted Item; or </w:t>
      </w:r>
    </w:p>
    <w:p w14:paraId="2C7B6584" w14:textId="77777777" w:rsidR="008E0D1D" w:rsidRDefault="001D0A7B">
      <w:pPr>
        <w:widowControl w:val="0"/>
        <w:numPr>
          <w:ilvl w:val="2"/>
          <w:numId w:val="1"/>
        </w:numPr>
        <w:pBdr>
          <w:top w:val="nil"/>
          <w:left w:val="nil"/>
          <w:bottom w:val="nil"/>
          <w:right w:val="nil"/>
          <w:between w:val="nil"/>
        </w:pBdr>
        <w:spacing w:before="100" w:after="200"/>
        <w:ind w:left="1440" w:hanging="720"/>
      </w:pPr>
      <w:r>
        <w:rPr>
          <w:color w:val="000000"/>
        </w:rPr>
        <w:t>the use is primarily related to the management of the Supplier’s own facilities or internal operations as opposed to the provision of Services.</w:t>
      </w:r>
    </w:p>
    <w:p w14:paraId="14F23353" w14:textId="77777777" w:rsidR="008E0D1D" w:rsidRDefault="001D0A7B">
      <w:pPr>
        <w:numPr>
          <w:ilvl w:val="1"/>
          <w:numId w:val="1"/>
        </w:numPr>
        <w:pBdr>
          <w:top w:val="nil"/>
          <w:left w:val="nil"/>
          <w:bottom w:val="nil"/>
          <w:right w:val="nil"/>
          <w:between w:val="nil"/>
        </w:pBdr>
        <w:spacing w:before="100" w:after="100"/>
      </w:pPr>
      <w:bookmarkStart w:id="13" w:name="_heading=h.7i345l6jdvsp" w:colFirst="0" w:colLast="0"/>
      <w:bookmarkEnd w:id="13"/>
      <w:r>
        <w:rPr>
          <w:color w:val="000000"/>
        </w:rPr>
        <w:t xml:space="preserve"> The Supplier shall meet the applicable Government Buying Standards applicable to Services which can be found online at: </w:t>
      </w:r>
    </w:p>
    <w:p w14:paraId="2AA7BDBD" w14:textId="77777777" w:rsidR="008E0D1D" w:rsidRDefault="00AD7CF9">
      <w:pPr>
        <w:pBdr>
          <w:top w:val="nil"/>
          <w:left w:val="nil"/>
          <w:bottom w:val="nil"/>
          <w:right w:val="nil"/>
          <w:between w:val="nil"/>
        </w:pBdr>
        <w:spacing w:before="100" w:after="200"/>
        <w:ind w:left="720"/>
        <w:rPr>
          <w:color w:val="000000"/>
        </w:rPr>
      </w:pPr>
      <w:hyperlink r:id="rId8">
        <w:r w:rsidR="001D0A7B">
          <w:rPr>
            <w:rFonts w:ascii="Calibri" w:eastAsia="Calibri" w:hAnsi="Calibri" w:cs="Calibri"/>
            <w:color w:val="1F497D"/>
            <w:u w:val="single"/>
          </w:rPr>
          <w:t>https://www.gov.uk/government/collections/sustainable-procurement-the-government-buying-standards-gbs</w:t>
        </w:r>
      </w:hyperlink>
      <w:r w:rsidR="001D0A7B">
        <w:rPr>
          <w:rFonts w:ascii="Calibri" w:eastAsia="Calibri" w:hAnsi="Calibri" w:cs="Calibri"/>
          <w:color w:val="1F497D"/>
          <w:u w:val="single"/>
        </w:rPr>
        <w:t>.</w:t>
      </w:r>
    </w:p>
    <w:p w14:paraId="0026B330" w14:textId="77777777" w:rsidR="008E0D1D" w:rsidRDefault="001D0A7B">
      <w:pPr>
        <w:keepNext/>
        <w:numPr>
          <w:ilvl w:val="0"/>
          <w:numId w:val="1"/>
        </w:numPr>
        <w:pBdr>
          <w:top w:val="nil"/>
          <w:left w:val="nil"/>
          <w:bottom w:val="nil"/>
          <w:right w:val="nil"/>
          <w:between w:val="nil"/>
        </w:pBdr>
        <w:spacing w:before="100" w:after="200"/>
      </w:pPr>
      <w:bookmarkStart w:id="14" w:name="_heading=h.rvruov2wd6bv" w:colFirst="0" w:colLast="0"/>
      <w:bookmarkEnd w:id="14"/>
      <w:r>
        <w:rPr>
          <w:b/>
          <w:color w:val="000000"/>
        </w:rPr>
        <w:t>Supplier Code of Conduct</w:t>
      </w:r>
    </w:p>
    <w:p w14:paraId="67B4DC67" w14:textId="77777777" w:rsidR="008E0D1D" w:rsidRDefault="001D0A7B">
      <w:pPr>
        <w:numPr>
          <w:ilvl w:val="1"/>
          <w:numId w:val="1"/>
        </w:numPr>
        <w:pBdr>
          <w:top w:val="nil"/>
          <w:left w:val="nil"/>
          <w:bottom w:val="nil"/>
          <w:right w:val="nil"/>
          <w:between w:val="nil"/>
        </w:pBdr>
        <w:spacing w:before="100" w:after="100"/>
      </w:pPr>
      <w:r>
        <w:rPr>
          <w:color w:val="000000"/>
        </w:rPr>
        <w:t>In February 2019, HM Government published a Supplier Code of Conduct setting out the standards and behaviours expected of suppliers who work with government which can be found online at:</w:t>
      </w:r>
    </w:p>
    <w:p w14:paraId="20783C74" w14:textId="77777777" w:rsidR="008E0D1D" w:rsidRDefault="00AD7CF9">
      <w:pPr>
        <w:pBdr>
          <w:top w:val="nil"/>
          <w:left w:val="nil"/>
          <w:bottom w:val="nil"/>
          <w:right w:val="nil"/>
          <w:between w:val="nil"/>
        </w:pBdr>
        <w:spacing w:before="100" w:after="100"/>
        <w:ind w:left="1440" w:hanging="720"/>
        <w:rPr>
          <w:color w:val="000000"/>
        </w:rPr>
      </w:pPr>
      <w:hyperlink r:id="rId9">
        <w:r w:rsidR="001D0A7B">
          <w:rPr>
            <w:color w:val="1F497D"/>
            <w:u w:val="single"/>
          </w:rPr>
          <w:t>https://assets.publishing.service.gov.uk/government/uploads/system/uploads/attachment_data/file/1163536/Supplier_Code_of_Conduct_v3.pdf</w:t>
        </w:r>
      </w:hyperlink>
    </w:p>
    <w:p w14:paraId="3FB3F89F" w14:textId="77777777" w:rsidR="008E0D1D" w:rsidRDefault="001D0A7B">
      <w:pPr>
        <w:numPr>
          <w:ilvl w:val="1"/>
          <w:numId w:val="1"/>
        </w:numPr>
        <w:pBdr>
          <w:top w:val="nil"/>
          <w:left w:val="nil"/>
          <w:bottom w:val="nil"/>
          <w:right w:val="nil"/>
          <w:between w:val="nil"/>
        </w:pBdr>
        <w:spacing w:before="100" w:after="100"/>
      </w:pPr>
      <w:r>
        <w:rPr>
          <w:color w:val="000000"/>
        </w:rPr>
        <w:t xml:space="preserve">The </w:t>
      </w:r>
      <w:r>
        <w:t>Buyer</w:t>
      </w:r>
      <w:r>
        <w:rPr>
          <w:color w:val="000000"/>
        </w:rPr>
        <w:t xml:space="preserve"> expects to meet, and expects its suppliers and subcontractors to meet, the standards set out in that Code.</w:t>
      </w:r>
    </w:p>
    <w:p w14:paraId="7655B45D" w14:textId="77777777" w:rsidR="008E0D1D" w:rsidRDefault="001D0A7B">
      <w:pPr>
        <w:keepNext/>
        <w:numPr>
          <w:ilvl w:val="0"/>
          <w:numId w:val="1"/>
        </w:numPr>
        <w:pBdr>
          <w:top w:val="nil"/>
          <w:left w:val="nil"/>
          <w:bottom w:val="nil"/>
          <w:right w:val="nil"/>
          <w:between w:val="nil"/>
        </w:pBdr>
        <w:spacing w:before="100" w:after="200"/>
      </w:pPr>
      <w:r>
        <w:rPr>
          <w:b/>
          <w:color w:val="000000"/>
        </w:rPr>
        <w:t>Reporting Requirements</w:t>
      </w:r>
    </w:p>
    <w:p w14:paraId="50F5545D" w14:textId="77777777" w:rsidR="008E0D1D" w:rsidRDefault="001D0A7B">
      <w:pPr>
        <w:numPr>
          <w:ilvl w:val="1"/>
          <w:numId w:val="1"/>
        </w:numPr>
        <w:pBdr>
          <w:top w:val="nil"/>
          <w:left w:val="nil"/>
          <w:bottom w:val="nil"/>
          <w:right w:val="nil"/>
          <w:between w:val="nil"/>
        </w:pBdr>
        <w:spacing w:before="100" w:after="200"/>
      </w:pPr>
      <w:r>
        <w:rPr>
          <w:color w:val="000000"/>
        </w:rPr>
        <w:t xml:space="preserve">The Supplier shall comply with reasonable requests by the </w:t>
      </w:r>
      <w:r>
        <w:t>Buyer</w:t>
      </w:r>
      <w:r>
        <w:rPr>
          <w:color w:val="000000"/>
        </w:rPr>
        <w:t xml:space="preserve"> for information evidencing compliance:</w:t>
      </w:r>
    </w:p>
    <w:p w14:paraId="6EB241EF" w14:textId="77777777" w:rsidR="008E0D1D" w:rsidRDefault="001D0A7B">
      <w:pPr>
        <w:widowControl w:val="0"/>
        <w:numPr>
          <w:ilvl w:val="2"/>
          <w:numId w:val="1"/>
        </w:numPr>
        <w:pBdr>
          <w:top w:val="nil"/>
          <w:left w:val="nil"/>
          <w:bottom w:val="nil"/>
          <w:right w:val="nil"/>
          <w:between w:val="nil"/>
        </w:pBdr>
        <w:spacing w:before="100" w:after="200"/>
        <w:ind w:left="1440" w:hanging="720"/>
      </w:pPr>
      <w:r>
        <w:rPr>
          <w:color w:val="000000"/>
        </w:rPr>
        <w:t>with Paragraphs 2.1, 3.1 to 3.6, 3.13 and 4 of this Annex 1 within fourteen (14) days of such request; and</w:t>
      </w:r>
    </w:p>
    <w:p w14:paraId="479858F9" w14:textId="77777777" w:rsidR="008E0D1D" w:rsidRDefault="001D0A7B">
      <w:pPr>
        <w:widowControl w:val="0"/>
        <w:numPr>
          <w:ilvl w:val="2"/>
          <w:numId w:val="1"/>
        </w:numPr>
        <w:pBdr>
          <w:top w:val="nil"/>
          <w:left w:val="nil"/>
          <w:bottom w:val="nil"/>
          <w:right w:val="nil"/>
          <w:between w:val="nil"/>
        </w:pBdr>
        <w:spacing w:before="100" w:after="200"/>
        <w:ind w:left="1440" w:hanging="720"/>
      </w:pPr>
      <w:r>
        <w:rPr>
          <w:color w:val="000000"/>
        </w:rPr>
        <w:t xml:space="preserve">With Paragraphs 2.2, 2.3 and 3.7 to 3.12 of this Annex 1 within thirty </w:t>
      </w:r>
      <w:r>
        <w:rPr>
          <w:color w:val="000000"/>
        </w:rPr>
        <w:lastRenderedPageBreak/>
        <w:t>(30) days of such request.</w:t>
      </w:r>
    </w:p>
    <w:p w14:paraId="3A9A18B5" w14:textId="77777777" w:rsidR="008E0D1D" w:rsidRDefault="001D0A7B">
      <w:pPr>
        <w:numPr>
          <w:ilvl w:val="1"/>
          <w:numId w:val="1"/>
        </w:numPr>
        <w:pBdr>
          <w:top w:val="nil"/>
          <w:left w:val="nil"/>
          <w:bottom w:val="nil"/>
          <w:right w:val="nil"/>
          <w:between w:val="nil"/>
        </w:pBdr>
        <w:spacing w:before="100" w:after="200"/>
      </w:pPr>
      <w:r>
        <w:rPr>
          <w:color w:val="000000"/>
        </w:rPr>
        <w:t xml:space="preserve">The Supplier shall complete the Sustainability Report in relation to its provision of the Services under this Contract and provide the Sustainability Report to the </w:t>
      </w:r>
      <w:r>
        <w:t>Buyer</w:t>
      </w:r>
      <w:r>
        <w:rPr>
          <w:color w:val="000000"/>
        </w:rPr>
        <w:t xml:space="preserve"> on the date and frequency outlined in Table C of this Annex 1.</w:t>
      </w:r>
    </w:p>
    <w:p w14:paraId="44B29FD6" w14:textId="77777777" w:rsidR="008E0D1D" w:rsidRDefault="001D0A7B">
      <w:pPr>
        <w:pStyle w:val="Heading3"/>
      </w:pPr>
      <w:bookmarkStart w:id="15" w:name="bookmark=id.gngitwfnfd40" w:colFirst="0" w:colLast="0"/>
      <w:bookmarkStart w:id="16" w:name="_heading=h.qw3wz1kkxnjx" w:colFirst="0" w:colLast="0"/>
      <w:bookmarkEnd w:id="15"/>
      <w:bookmarkEnd w:id="16"/>
      <w:r>
        <w:t>Table A – Prohibited Items</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87"/>
        <w:gridCol w:w="6529"/>
      </w:tblGrid>
      <w:tr w:rsidR="008E0D1D" w14:paraId="7BAA7C05" w14:textId="77777777">
        <w:trPr>
          <w:trHeight w:val="145"/>
        </w:trPr>
        <w:tc>
          <w:tcPr>
            <w:tcW w:w="2487" w:type="dxa"/>
            <w:vMerge w:val="restart"/>
          </w:tcPr>
          <w:p w14:paraId="13AAA48B" w14:textId="77777777" w:rsidR="008E0D1D" w:rsidRDefault="001D0A7B">
            <w:pPr>
              <w:pBdr>
                <w:top w:val="nil"/>
                <w:left w:val="nil"/>
                <w:bottom w:val="nil"/>
                <w:right w:val="nil"/>
                <w:between w:val="nil"/>
              </w:pBdr>
              <w:rPr>
                <w:b/>
                <w:color w:val="000000"/>
                <w:sz w:val="24"/>
                <w:szCs w:val="24"/>
              </w:rPr>
            </w:pPr>
            <w:r>
              <w:rPr>
                <w:b/>
                <w:color w:val="000000"/>
                <w:sz w:val="24"/>
                <w:szCs w:val="24"/>
              </w:rPr>
              <w:t>The following consumer single use plastics are Prohibited Items:</w:t>
            </w:r>
          </w:p>
        </w:tc>
        <w:tc>
          <w:tcPr>
            <w:tcW w:w="6529" w:type="dxa"/>
          </w:tcPr>
          <w:p w14:paraId="14772D22" w14:textId="77777777" w:rsidR="008E0D1D" w:rsidRDefault="001D0A7B">
            <w:pPr>
              <w:keepNext/>
              <w:keepLines/>
              <w:pBdr>
                <w:top w:val="nil"/>
                <w:left w:val="nil"/>
                <w:bottom w:val="nil"/>
                <w:right w:val="nil"/>
                <w:between w:val="nil"/>
              </w:pBdr>
              <w:rPr>
                <w:b/>
                <w:color w:val="000000"/>
                <w:sz w:val="24"/>
                <w:szCs w:val="24"/>
              </w:rPr>
            </w:pPr>
            <w:r>
              <w:rPr>
                <w:b/>
                <w:color w:val="000000"/>
                <w:sz w:val="24"/>
                <w:szCs w:val="24"/>
              </w:rPr>
              <w:t>Catering</w:t>
            </w:r>
          </w:p>
          <w:p w14:paraId="3B0B3384" w14:textId="77777777" w:rsidR="008E0D1D" w:rsidRDefault="001D0A7B">
            <w:pPr>
              <w:numPr>
                <w:ilvl w:val="0"/>
                <w:numId w:val="3"/>
              </w:numPr>
              <w:pBdr>
                <w:top w:val="nil"/>
                <w:left w:val="nil"/>
                <w:bottom w:val="nil"/>
                <w:right w:val="nil"/>
                <w:between w:val="nil"/>
              </w:pBdr>
              <w:spacing w:before="100"/>
              <w:rPr>
                <w:color w:val="000000"/>
                <w:sz w:val="24"/>
                <w:szCs w:val="24"/>
              </w:rPr>
            </w:pPr>
            <w:r>
              <w:rPr>
                <w:color w:val="000000"/>
                <w:sz w:val="24"/>
                <w:szCs w:val="24"/>
              </w:rPr>
              <w:t xml:space="preserve">Single use sachets </w:t>
            </w:r>
            <w:proofErr w:type="gramStart"/>
            <w:r>
              <w:rPr>
                <w:color w:val="000000"/>
                <w:sz w:val="24"/>
                <w:szCs w:val="24"/>
              </w:rPr>
              <w:t>e.g.</w:t>
            </w:r>
            <w:proofErr w:type="gramEnd"/>
            <w:r>
              <w:rPr>
                <w:color w:val="000000"/>
                <w:sz w:val="24"/>
                <w:szCs w:val="24"/>
              </w:rPr>
              <w:t xml:space="preserve"> coffee pods, sauce sachets, milk sachets</w:t>
            </w:r>
          </w:p>
          <w:p w14:paraId="37C41157" w14:textId="77777777" w:rsidR="008E0D1D" w:rsidRDefault="001D0A7B">
            <w:pPr>
              <w:numPr>
                <w:ilvl w:val="0"/>
                <w:numId w:val="3"/>
              </w:numPr>
              <w:pBdr>
                <w:top w:val="nil"/>
                <w:left w:val="nil"/>
                <w:bottom w:val="nil"/>
                <w:right w:val="nil"/>
                <w:between w:val="nil"/>
              </w:pBdr>
              <w:spacing w:before="100"/>
              <w:rPr>
                <w:color w:val="000000"/>
                <w:sz w:val="24"/>
                <w:szCs w:val="24"/>
              </w:rPr>
            </w:pPr>
            <w:r>
              <w:rPr>
                <w:color w:val="000000"/>
                <w:sz w:val="24"/>
                <w:szCs w:val="24"/>
              </w:rPr>
              <w:t>Take away cutlery</w:t>
            </w:r>
          </w:p>
          <w:p w14:paraId="77DA0DE5" w14:textId="77777777" w:rsidR="008E0D1D" w:rsidRDefault="001D0A7B">
            <w:pPr>
              <w:numPr>
                <w:ilvl w:val="0"/>
                <w:numId w:val="3"/>
              </w:numPr>
              <w:pBdr>
                <w:top w:val="nil"/>
                <w:left w:val="nil"/>
                <w:bottom w:val="nil"/>
                <w:right w:val="nil"/>
                <w:between w:val="nil"/>
              </w:pBdr>
              <w:spacing w:before="100"/>
              <w:rPr>
                <w:color w:val="000000"/>
                <w:sz w:val="24"/>
                <w:szCs w:val="24"/>
              </w:rPr>
            </w:pPr>
            <w:r>
              <w:rPr>
                <w:color w:val="000000"/>
                <w:sz w:val="24"/>
                <w:szCs w:val="24"/>
              </w:rPr>
              <w:t>Take away boxes and plates</w:t>
            </w:r>
          </w:p>
          <w:p w14:paraId="0353FB7D" w14:textId="77777777" w:rsidR="008E0D1D" w:rsidRDefault="001D0A7B">
            <w:pPr>
              <w:numPr>
                <w:ilvl w:val="0"/>
                <w:numId w:val="3"/>
              </w:numPr>
              <w:pBdr>
                <w:top w:val="nil"/>
                <w:left w:val="nil"/>
                <w:bottom w:val="nil"/>
                <w:right w:val="nil"/>
                <w:between w:val="nil"/>
              </w:pBdr>
              <w:spacing w:before="100"/>
              <w:rPr>
                <w:color w:val="000000"/>
                <w:sz w:val="24"/>
                <w:szCs w:val="24"/>
              </w:rPr>
            </w:pPr>
            <w:r>
              <w:rPr>
                <w:color w:val="000000"/>
                <w:sz w:val="24"/>
                <w:szCs w:val="24"/>
              </w:rPr>
              <w:t>Cups made wholly or partially of plastic</w:t>
            </w:r>
          </w:p>
          <w:p w14:paraId="47E39019" w14:textId="77777777" w:rsidR="008E0D1D" w:rsidRDefault="001D0A7B">
            <w:pPr>
              <w:numPr>
                <w:ilvl w:val="0"/>
                <w:numId w:val="3"/>
              </w:numPr>
              <w:pBdr>
                <w:top w:val="nil"/>
                <w:left w:val="nil"/>
                <w:bottom w:val="nil"/>
                <w:right w:val="nil"/>
                <w:between w:val="nil"/>
              </w:pBdr>
              <w:spacing w:before="100"/>
              <w:rPr>
                <w:color w:val="000000"/>
                <w:sz w:val="24"/>
                <w:szCs w:val="24"/>
              </w:rPr>
            </w:pPr>
            <w:r>
              <w:rPr>
                <w:color w:val="000000"/>
                <w:sz w:val="24"/>
                <w:szCs w:val="24"/>
              </w:rPr>
              <w:t>Straws</w:t>
            </w:r>
          </w:p>
          <w:p w14:paraId="001BF6F0" w14:textId="77777777" w:rsidR="008E0D1D" w:rsidRDefault="001D0A7B">
            <w:pPr>
              <w:numPr>
                <w:ilvl w:val="0"/>
                <w:numId w:val="3"/>
              </w:numPr>
              <w:pBdr>
                <w:top w:val="nil"/>
                <w:left w:val="nil"/>
                <w:bottom w:val="nil"/>
                <w:right w:val="nil"/>
                <w:between w:val="nil"/>
              </w:pBdr>
              <w:spacing w:before="100"/>
              <w:rPr>
                <w:color w:val="000000"/>
                <w:sz w:val="24"/>
                <w:szCs w:val="24"/>
              </w:rPr>
            </w:pPr>
            <w:r>
              <w:rPr>
                <w:color w:val="000000"/>
                <w:sz w:val="24"/>
                <w:szCs w:val="24"/>
              </w:rPr>
              <w:t>Stirrers</w:t>
            </w:r>
          </w:p>
          <w:p w14:paraId="4BDD163A" w14:textId="77777777" w:rsidR="008E0D1D" w:rsidRDefault="001D0A7B">
            <w:pPr>
              <w:numPr>
                <w:ilvl w:val="0"/>
                <w:numId w:val="3"/>
              </w:numPr>
              <w:pBdr>
                <w:top w:val="nil"/>
                <w:left w:val="nil"/>
                <w:bottom w:val="nil"/>
                <w:right w:val="nil"/>
                <w:between w:val="nil"/>
              </w:pBdr>
              <w:spacing w:before="100"/>
              <w:rPr>
                <w:color w:val="000000"/>
                <w:sz w:val="24"/>
                <w:szCs w:val="24"/>
              </w:rPr>
            </w:pPr>
            <w:r>
              <w:rPr>
                <w:color w:val="000000"/>
                <w:sz w:val="24"/>
                <w:szCs w:val="24"/>
              </w:rPr>
              <w:t>Water bottles</w:t>
            </w:r>
          </w:p>
        </w:tc>
      </w:tr>
      <w:tr w:rsidR="008E0D1D" w14:paraId="28B0C3CD" w14:textId="77777777">
        <w:trPr>
          <w:trHeight w:val="145"/>
        </w:trPr>
        <w:tc>
          <w:tcPr>
            <w:tcW w:w="2487" w:type="dxa"/>
            <w:vMerge/>
          </w:tcPr>
          <w:p w14:paraId="5664C8F2" w14:textId="77777777" w:rsidR="008E0D1D" w:rsidRDefault="008E0D1D">
            <w:pPr>
              <w:widowControl w:val="0"/>
              <w:pBdr>
                <w:top w:val="nil"/>
                <w:left w:val="nil"/>
                <w:bottom w:val="nil"/>
                <w:right w:val="nil"/>
                <w:between w:val="nil"/>
              </w:pBdr>
              <w:spacing w:line="276" w:lineRule="auto"/>
              <w:rPr>
                <w:color w:val="000000"/>
                <w:sz w:val="24"/>
                <w:szCs w:val="24"/>
              </w:rPr>
            </w:pPr>
          </w:p>
        </w:tc>
        <w:tc>
          <w:tcPr>
            <w:tcW w:w="6529" w:type="dxa"/>
          </w:tcPr>
          <w:p w14:paraId="737DD2F0" w14:textId="77777777" w:rsidR="008E0D1D" w:rsidRDefault="001D0A7B">
            <w:pPr>
              <w:keepNext/>
              <w:keepLines/>
              <w:pBdr>
                <w:top w:val="nil"/>
                <w:left w:val="nil"/>
                <w:bottom w:val="nil"/>
                <w:right w:val="nil"/>
                <w:between w:val="nil"/>
              </w:pBdr>
              <w:rPr>
                <w:b/>
                <w:color w:val="000000"/>
                <w:sz w:val="24"/>
                <w:szCs w:val="24"/>
              </w:rPr>
            </w:pPr>
            <w:r>
              <w:rPr>
                <w:b/>
                <w:color w:val="000000"/>
                <w:sz w:val="24"/>
                <w:szCs w:val="24"/>
              </w:rPr>
              <w:t>Facilities</w:t>
            </w:r>
          </w:p>
          <w:p w14:paraId="3D123806" w14:textId="77777777" w:rsidR="008E0D1D" w:rsidRDefault="001D0A7B">
            <w:pPr>
              <w:numPr>
                <w:ilvl w:val="0"/>
                <w:numId w:val="2"/>
              </w:numPr>
              <w:pBdr>
                <w:top w:val="nil"/>
                <w:left w:val="nil"/>
                <w:bottom w:val="nil"/>
                <w:right w:val="nil"/>
                <w:between w:val="nil"/>
              </w:pBdr>
              <w:spacing w:before="100"/>
              <w:rPr>
                <w:color w:val="000000"/>
                <w:sz w:val="24"/>
                <w:szCs w:val="24"/>
              </w:rPr>
            </w:pPr>
            <w:r>
              <w:rPr>
                <w:color w:val="000000"/>
                <w:sz w:val="24"/>
                <w:szCs w:val="24"/>
              </w:rPr>
              <w:t xml:space="preserve">Single use containers </w:t>
            </w:r>
            <w:proofErr w:type="gramStart"/>
            <w:r>
              <w:rPr>
                <w:color w:val="000000"/>
                <w:sz w:val="24"/>
                <w:szCs w:val="24"/>
              </w:rPr>
              <w:t>e.g.</w:t>
            </w:r>
            <w:proofErr w:type="gramEnd"/>
            <w:r>
              <w:rPr>
                <w:color w:val="000000"/>
                <w:sz w:val="24"/>
                <w:szCs w:val="24"/>
              </w:rPr>
              <w:t xml:space="preserve"> hand soap, cleaning products</w:t>
            </w:r>
          </w:p>
          <w:p w14:paraId="7EFC1B50" w14:textId="77777777" w:rsidR="008E0D1D" w:rsidRDefault="001D0A7B">
            <w:pPr>
              <w:numPr>
                <w:ilvl w:val="0"/>
                <w:numId w:val="2"/>
              </w:numPr>
              <w:pBdr>
                <w:top w:val="nil"/>
                <w:left w:val="nil"/>
                <w:bottom w:val="nil"/>
                <w:right w:val="nil"/>
                <w:between w:val="nil"/>
              </w:pBdr>
              <w:spacing w:before="100" w:after="200"/>
              <w:rPr>
                <w:color w:val="000000"/>
                <w:sz w:val="24"/>
                <w:szCs w:val="24"/>
              </w:rPr>
            </w:pPr>
            <w:r>
              <w:rPr>
                <w:color w:val="000000"/>
                <w:sz w:val="24"/>
                <w:szCs w:val="24"/>
              </w:rPr>
              <w:t>Wipes containing plastic</w:t>
            </w:r>
          </w:p>
        </w:tc>
      </w:tr>
      <w:tr w:rsidR="008E0D1D" w14:paraId="5705EF3F" w14:textId="77777777">
        <w:trPr>
          <w:trHeight w:val="145"/>
        </w:trPr>
        <w:tc>
          <w:tcPr>
            <w:tcW w:w="2487" w:type="dxa"/>
            <w:vMerge/>
          </w:tcPr>
          <w:p w14:paraId="20544D24" w14:textId="77777777" w:rsidR="008E0D1D" w:rsidRDefault="008E0D1D">
            <w:pPr>
              <w:widowControl w:val="0"/>
              <w:pBdr>
                <w:top w:val="nil"/>
                <w:left w:val="nil"/>
                <w:bottom w:val="nil"/>
                <w:right w:val="nil"/>
                <w:between w:val="nil"/>
              </w:pBdr>
              <w:spacing w:line="276" w:lineRule="auto"/>
              <w:rPr>
                <w:color w:val="000000"/>
                <w:sz w:val="24"/>
                <w:szCs w:val="24"/>
              </w:rPr>
            </w:pPr>
          </w:p>
        </w:tc>
        <w:tc>
          <w:tcPr>
            <w:tcW w:w="6529" w:type="dxa"/>
          </w:tcPr>
          <w:p w14:paraId="5D20245C" w14:textId="77777777" w:rsidR="008E0D1D" w:rsidRDefault="001D0A7B">
            <w:pPr>
              <w:pBdr>
                <w:top w:val="nil"/>
                <w:left w:val="nil"/>
                <w:bottom w:val="nil"/>
                <w:right w:val="nil"/>
                <w:between w:val="nil"/>
              </w:pBdr>
              <w:rPr>
                <w:b/>
                <w:color w:val="000000"/>
                <w:sz w:val="24"/>
                <w:szCs w:val="24"/>
              </w:rPr>
            </w:pPr>
            <w:r>
              <w:rPr>
                <w:b/>
                <w:color w:val="000000"/>
                <w:sz w:val="24"/>
                <w:szCs w:val="24"/>
              </w:rPr>
              <w:t>Office Supplies</w:t>
            </w:r>
          </w:p>
          <w:p w14:paraId="351FC5CC" w14:textId="77777777" w:rsidR="008E0D1D" w:rsidRDefault="001D0A7B">
            <w:pPr>
              <w:numPr>
                <w:ilvl w:val="0"/>
                <w:numId w:val="4"/>
              </w:numPr>
              <w:pBdr>
                <w:top w:val="nil"/>
                <w:left w:val="nil"/>
                <w:bottom w:val="nil"/>
                <w:right w:val="nil"/>
                <w:between w:val="nil"/>
              </w:pBdr>
              <w:spacing w:before="100"/>
              <w:rPr>
                <w:color w:val="000000"/>
                <w:sz w:val="24"/>
                <w:szCs w:val="24"/>
              </w:rPr>
            </w:pPr>
            <w:r>
              <w:rPr>
                <w:color w:val="000000"/>
                <w:sz w:val="24"/>
                <w:szCs w:val="24"/>
              </w:rPr>
              <w:t>Plastic envelopes</w:t>
            </w:r>
          </w:p>
          <w:p w14:paraId="1EF3FDED" w14:textId="77777777" w:rsidR="008E0D1D" w:rsidRDefault="001D0A7B">
            <w:pPr>
              <w:numPr>
                <w:ilvl w:val="0"/>
                <w:numId w:val="2"/>
              </w:numPr>
              <w:pBdr>
                <w:top w:val="nil"/>
                <w:left w:val="nil"/>
                <w:bottom w:val="nil"/>
                <w:right w:val="nil"/>
                <w:between w:val="nil"/>
              </w:pBdr>
              <w:spacing w:before="100"/>
            </w:pPr>
            <w:r>
              <w:rPr>
                <w:color w:val="000000"/>
                <w:sz w:val="24"/>
                <w:szCs w:val="24"/>
              </w:rPr>
              <w:t>Plastic wrapping for brochures</w:t>
            </w:r>
          </w:p>
          <w:p w14:paraId="11612645" w14:textId="77777777" w:rsidR="008E0D1D" w:rsidRDefault="001D0A7B">
            <w:pPr>
              <w:numPr>
                <w:ilvl w:val="0"/>
                <w:numId w:val="2"/>
              </w:numPr>
              <w:pBdr>
                <w:top w:val="nil"/>
                <w:left w:val="nil"/>
                <w:bottom w:val="nil"/>
                <w:right w:val="nil"/>
                <w:between w:val="nil"/>
              </w:pBdr>
              <w:spacing w:before="100"/>
              <w:rPr>
                <w:color w:val="000000"/>
                <w:sz w:val="24"/>
                <w:szCs w:val="24"/>
              </w:rPr>
            </w:pPr>
            <w:r>
              <w:rPr>
                <w:color w:val="000000"/>
                <w:sz w:val="24"/>
                <w:szCs w:val="24"/>
              </w:rPr>
              <w:t>Paper or card which is bleached with chlorine</w:t>
            </w:r>
          </w:p>
        </w:tc>
      </w:tr>
      <w:tr w:rsidR="008E0D1D" w14:paraId="634EB257" w14:textId="77777777">
        <w:trPr>
          <w:trHeight w:val="145"/>
        </w:trPr>
        <w:tc>
          <w:tcPr>
            <w:tcW w:w="2487" w:type="dxa"/>
            <w:vMerge/>
          </w:tcPr>
          <w:p w14:paraId="19B816FC" w14:textId="77777777" w:rsidR="008E0D1D" w:rsidRDefault="008E0D1D">
            <w:pPr>
              <w:widowControl w:val="0"/>
              <w:pBdr>
                <w:top w:val="nil"/>
                <w:left w:val="nil"/>
                <w:bottom w:val="nil"/>
                <w:right w:val="nil"/>
                <w:between w:val="nil"/>
              </w:pBdr>
              <w:spacing w:line="276" w:lineRule="auto"/>
              <w:rPr>
                <w:color w:val="000000"/>
                <w:sz w:val="24"/>
                <w:szCs w:val="24"/>
              </w:rPr>
            </w:pPr>
          </w:p>
        </w:tc>
        <w:tc>
          <w:tcPr>
            <w:tcW w:w="6529" w:type="dxa"/>
          </w:tcPr>
          <w:p w14:paraId="465685E2" w14:textId="77777777" w:rsidR="008E0D1D" w:rsidRDefault="001D0A7B">
            <w:pPr>
              <w:pBdr>
                <w:top w:val="nil"/>
                <w:left w:val="nil"/>
                <w:bottom w:val="nil"/>
                <w:right w:val="nil"/>
                <w:between w:val="nil"/>
              </w:pBdr>
              <w:rPr>
                <w:b/>
                <w:color w:val="000000"/>
                <w:sz w:val="24"/>
                <w:szCs w:val="24"/>
              </w:rPr>
            </w:pPr>
            <w:r>
              <w:rPr>
                <w:b/>
                <w:color w:val="000000"/>
                <w:sz w:val="24"/>
                <w:szCs w:val="24"/>
              </w:rPr>
              <w:t>Packaging</w:t>
            </w:r>
          </w:p>
          <w:p w14:paraId="005AFBC2" w14:textId="77777777" w:rsidR="008E0D1D" w:rsidRDefault="001D0A7B">
            <w:pPr>
              <w:numPr>
                <w:ilvl w:val="0"/>
                <w:numId w:val="5"/>
              </w:numPr>
              <w:pBdr>
                <w:top w:val="nil"/>
                <w:left w:val="nil"/>
                <w:bottom w:val="nil"/>
                <w:right w:val="nil"/>
                <w:between w:val="nil"/>
              </w:pBdr>
              <w:spacing w:before="100"/>
              <w:rPr>
                <w:color w:val="000000"/>
                <w:sz w:val="24"/>
                <w:szCs w:val="24"/>
              </w:rPr>
            </w:pPr>
            <w:r>
              <w:rPr>
                <w:color w:val="000000"/>
                <w:sz w:val="24"/>
                <w:szCs w:val="24"/>
              </w:rPr>
              <w:t xml:space="preserve">Single use plastic packaging from deliveries where avoidable </w:t>
            </w:r>
            <w:proofErr w:type="gramStart"/>
            <w:r>
              <w:rPr>
                <w:color w:val="000000"/>
                <w:sz w:val="24"/>
                <w:szCs w:val="24"/>
              </w:rPr>
              <w:t>e.g.</w:t>
            </w:r>
            <w:proofErr w:type="gramEnd"/>
            <w:r>
              <w:rPr>
                <w:color w:val="000000"/>
                <w:sz w:val="24"/>
                <w:szCs w:val="24"/>
              </w:rPr>
              <w:t xml:space="preserve"> shrink wrapped packaging from office supplier or facilities products.</w:t>
            </w:r>
          </w:p>
          <w:p w14:paraId="3D78EDFC" w14:textId="77777777" w:rsidR="008E0D1D" w:rsidRDefault="001D0A7B">
            <w:pPr>
              <w:numPr>
                <w:ilvl w:val="0"/>
                <w:numId w:val="4"/>
              </w:numPr>
              <w:pBdr>
                <w:top w:val="nil"/>
                <w:left w:val="nil"/>
                <w:bottom w:val="nil"/>
                <w:right w:val="nil"/>
                <w:between w:val="nil"/>
              </w:pBdr>
              <w:spacing w:before="100"/>
              <w:rPr>
                <w:color w:val="000000"/>
                <w:sz w:val="24"/>
                <w:szCs w:val="24"/>
              </w:rPr>
            </w:pPr>
            <w:r>
              <w:rPr>
                <w:color w:val="000000"/>
                <w:sz w:val="24"/>
                <w:szCs w:val="24"/>
              </w:rPr>
              <w:t>Single use carrier bags</w:t>
            </w:r>
          </w:p>
        </w:tc>
      </w:tr>
      <w:tr w:rsidR="008E0D1D" w14:paraId="3F83A398" w14:textId="77777777">
        <w:tc>
          <w:tcPr>
            <w:tcW w:w="2487" w:type="dxa"/>
          </w:tcPr>
          <w:p w14:paraId="5D1C9B01" w14:textId="77777777" w:rsidR="008E0D1D" w:rsidRDefault="001D0A7B">
            <w:pPr>
              <w:pBdr>
                <w:top w:val="nil"/>
                <w:left w:val="nil"/>
                <w:bottom w:val="nil"/>
                <w:right w:val="nil"/>
                <w:between w:val="nil"/>
              </w:pBdr>
              <w:rPr>
                <w:b/>
                <w:color w:val="000000"/>
                <w:sz w:val="24"/>
                <w:szCs w:val="24"/>
              </w:rPr>
            </w:pPr>
            <w:r>
              <w:rPr>
                <w:b/>
                <w:sz w:val="24"/>
                <w:szCs w:val="24"/>
              </w:rPr>
              <w:t>Buyer</w:t>
            </w:r>
            <w:r>
              <w:rPr>
                <w:b/>
                <w:color w:val="000000"/>
                <w:sz w:val="24"/>
                <w:szCs w:val="24"/>
              </w:rPr>
              <w:t xml:space="preserve"> Specific Prohibitions</w:t>
            </w:r>
          </w:p>
        </w:tc>
        <w:tc>
          <w:tcPr>
            <w:tcW w:w="6529" w:type="dxa"/>
          </w:tcPr>
          <w:p w14:paraId="2D7368AE" w14:textId="77777777" w:rsidR="008E0D1D" w:rsidRDefault="001D0A7B">
            <w:pPr>
              <w:pBdr>
                <w:top w:val="nil"/>
                <w:left w:val="nil"/>
                <w:bottom w:val="nil"/>
                <w:right w:val="nil"/>
                <w:between w:val="nil"/>
              </w:pBdr>
              <w:rPr>
                <w:color w:val="000000"/>
                <w:sz w:val="24"/>
                <w:szCs w:val="24"/>
              </w:rPr>
            </w:pPr>
            <w:r>
              <w:rPr>
                <w:sz w:val="24"/>
                <w:szCs w:val="24"/>
              </w:rPr>
              <w:t>N/A</w:t>
            </w:r>
          </w:p>
        </w:tc>
      </w:tr>
      <w:tr w:rsidR="008E0D1D" w14:paraId="4E73ED9C" w14:textId="77777777">
        <w:tc>
          <w:tcPr>
            <w:tcW w:w="2487" w:type="dxa"/>
          </w:tcPr>
          <w:p w14:paraId="3827C387" w14:textId="77777777" w:rsidR="008E0D1D" w:rsidRDefault="001D0A7B">
            <w:pPr>
              <w:pBdr>
                <w:top w:val="nil"/>
                <w:left w:val="nil"/>
                <w:bottom w:val="nil"/>
                <w:right w:val="nil"/>
                <w:between w:val="nil"/>
              </w:pBdr>
              <w:rPr>
                <w:b/>
                <w:color w:val="000000"/>
                <w:sz w:val="24"/>
                <w:szCs w:val="24"/>
              </w:rPr>
            </w:pPr>
            <w:r>
              <w:rPr>
                <w:b/>
                <w:color w:val="000000"/>
                <w:sz w:val="24"/>
                <w:szCs w:val="24"/>
              </w:rPr>
              <w:t>Project specific Prohibitions</w:t>
            </w:r>
          </w:p>
        </w:tc>
        <w:tc>
          <w:tcPr>
            <w:tcW w:w="6529" w:type="dxa"/>
          </w:tcPr>
          <w:p w14:paraId="6884EC8E" w14:textId="77777777" w:rsidR="008E0D1D" w:rsidRDefault="001D0A7B">
            <w:pPr>
              <w:pBdr>
                <w:top w:val="nil"/>
                <w:left w:val="nil"/>
                <w:bottom w:val="nil"/>
                <w:right w:val="nil"/>
                <w:between w:val="nil"/>
              </w:pBdr>
              <w:rPr>
                <w:color w:val="000000"/>
                <w:sz w:val="24"/>
                <w:szCs w:val="24"/>
              </w:rPr>
            </w:pPr>
            <w:r>
              <w:rPr>
                <w:sz w:val="24"/>
                <w:szCs w:val="24"/>
              </w:rPr>
              <w:t>N/A</w:t>
            </w:r>
          </w:p>
        </w:tc>
      </w:tr>
    </w:tbl>
    <w:p w14:paraId="506F5456" w14:textId="77777777" w:rsidR="008E0D1D" w:rsidRDefault="008E0D1D"/>
    <w:p w14:paraId="5A0338D6" w14:textId="77777777" w:rsidR="008E0D1D" w:rsidRDefault="001D0A7B">
      <w:pPr>
        <w:pStyle w:val="Heading3"/>
      </w:pPr>
      <w:bookmarkStart w:id="17" w:name="bookmark=id.u02t6ya17zuz" w:colFirst="0" w:colLast="0"/>
      <w:bookmarkStart w:id="18" w:name="_heading=h.7vtysuhakpcr" w:colFirst="0" w:colLast="0"/>
      <w:bookmarkEnd w:id="17"/>
      <w:bookmarkEnd w:id="18"/>
      <w:r>
        <w:lastRenderedPageBreak/>
        <w:t>Table B – Permitted Items</w:t>
      </w:r>
    </w:p>
    <w:tbl>
      <w:tblPr>
        <w:tblStyle w:val="a1"/>
        <w:tblW w:w="10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8504"/>
      </w:tblGrid>
      <w:tr w:rsidR="008E0D1D" w14:paraId="589A72B4" w14:textId="77777777">
        <w:tc>
          <w:tcPr>
            <w:tcW w:w="1696" w:type="dxa"/>
            <w:tcBorders>
              <w:bottom w:val="single" w:sz="4" w:space="0" w:color="000000"/>
            </w:tcBorders>
          </w:tcPr>
          <w:p w14:paraId="48A86287" w14:textId="77777777" w:rsidR="008E0D1D" w:rsidRDefault="001D0A7B">
            <w:pPr>
              <w:pBdr>
                <w:top w:val="nil"/>
                <w:left w:val="nil"/>
                <w:bottom w:val="nil"/>
                <w:right w:val="nil"/>
                <w:between w:val="nil"/>
              </w:pBdr>
              <w:rPr>
                <w:b/>
                <w:color w:val="000000"/>
                <w:sz w:val="24"/>
                <w:szCs w:val="24"/>
              </w:rPr>
            </w:pPr>
            <w:r>
              <w:rPr>
                <w:b/>
                <w:sz w:val="24"/>
                <w:szCs w:val="24"/>
              </w:rPr>
              <w:t xml:space="preserve">Buyer </w:t>
            </w:r>
            <w:r>
              <w:rPr>
                <w:b/>
                <w:color w:val="000000"/>
                <w:sz w:val="24"/>
                <w:szCs w:val="24"/>
              </w:rPr>
              <w:t xml:space="preserve">Permitted Items </w:t>
            </w:r>
          </w:p>
        </w:tc>
        <w:tc>
          <w:tcPr>
            <w:tcW w:w="8504" w:type="dxa"/>
            <w:tcBorders>
              <w:bottom w:val="single" w:sz="4" w:space="0" w:color="000000"/>
            </w:tcBorders>
          </w:tcPr>
          <w:p w14:paraId="7ED8A763" w14:textId="77777777" w:rsidR="008E0D1D" w:rsidRDefault="001D0A7B">
            <w:pPr>
              <w:pBdr>
                <w:top w:val="nil"/>
                <w:left w:val="nil"/>
                <w:bottom w:val="nil"/>
                <w:right w:val="nil"/>
                <w:between w:val="nil"/>
              </w:pBdr>
              <w:rPr>
                <w:color w:val="000000"/>
                <w:sz w:val="24"/>
                <w:szCs w:val="24"/>
              </w:rPr>
            </w:pPr>
            <w:r>
              <w:rPr>
                <w:color w:val="000000"/>
                <w:sz w:val="24"/>
                <w:szCs w:val="24"/>
              </w:rPr>
              <w:t>N</w:t>
            </w:r>
            <w:r>
              <w:rPr>
                <w:sz w:val="24"/>
                <w:szCs w:val="24"/>
              </w:rPr>
              <w:t>/A</w:t>
            </w:r>
          </w:p>
        </w:tc>
      </w:tr>
      <w:tr w:rsidR="008E0D1D" w14:paraId="2090B617" w14:textId="77777777">
        <w:tc>
          <w:tcPr>
            <w:tcW w:w="1696" w:type="dxa"/>
            <w:tcBorders>
              <w:bottom w:val="single" w:sz="4" w:space="0" w:color="000000"/>
            </w:tcBorders>
          </w:tcPr>
          <w:p w14:paraId="382F5967" w14:textId="77777777" w:rsidR="008E0D1D" w:rsidRDefault="001D0A7B">
            <w:pPr>
              <w:pBdr>
                <w:top w:val="nil"/>
                <w:left w:val="nil"/>
                <w:bottom w:val="nil"/>
                <w:right w:val="nil"/>
                <w:between w:val="nil"/>
              </w:pBdr>
              <w:rPr>
                <w:b/>
                <w:color w:val="000000"/>
                <w:sz w:val="24"/>
                <w:szCs w:val="24"/>
              </w:rPr>
            </w:pPr>
            <w:r>
              <w:rPr>
                <w:b/>
                <w:color w:val="000000"/>
                <w:sz w:val="24"/>
                <w:szCs w:val="24"/>
              </w:rPr>
              <w:t>Project Specific Permitted Items</w:t>
            </w:r>
          </w:p>
        </w:tc>
        <w:tc>
          <w:tcPr>
            <w:tcW w:w="8504" w:type="dxa"/>
            <w:tcBorders>
              <w:bottom w:val="single" w:sz="4" w:space="0" w:color="000000"/>
            </w:tcBorders>
          </w:tcPr>
          <w:p w14:paraId="0B85A17C" w14:textId="77777777" w:rsidR="008E0D1D" w:rsidRDefault="001D0A7B">
            <w:pPr>
              <w:pBdr>
                <w:top w:val="nil"/>
                <w:left w:val="nil"/>
                <w:bottom w:val="nil"/>
                <w:right w:val="nil"/>
                <w:between w:val="nil"/>
              </w:pBdr>
              <w:rPr>
                <w:color w:val="000000"/>
                <w:sz w:val="24"/>
                <w:szCs w:val="24"/>
              </w:rPr>
            </w:pPr>
            <w:r>
              <w:rPr>
                <w:sz w:val="24"/>
                <w:szCs w:val="24"/>
              </w:rPr>
              <w:t>N/A</w:t>
            </w:r>
          </w:p>
        </w:tc>
      </w:tr>
    </w:tbl>
    <w:p w14:paraId="6AA651FE" w14:textId="77777777" w:rsidR="008E0D1D" w:rsidRDefault="008E0D1D"/>
    <w:p w14:paraId="09A45B9D" w14:textId="77777777" w:rsidR="008E0D1D" w:rsidRDefault="001D0A7B">
      <w:pPr>
        <w:pStyle w:val="Heading3"/>
      </w:pPr>
      <w:bookmarkStart w:id="19" w:name="bookmark=id.r2hntvzefznv" w:colFirst="0" w:colLast="0"/>
      <w:bookmarkStart w:id="20" w:name="_heading=h.352tj56r91pn" w:colFirst="0" w:colLast="0"/>
      <w:bookmarkEnd w:id="19"/>
      <w:bookmarkEnd w:id="20"/>
      <w:r>
        <w:t>Table C – Sustainability Reports</w:t>
      </w:r>
    </w:p>
    <w:tbl>
      <w:tblPr>
        <w:tblStyle w:val="a2"/>
        <w:tblW w:w="102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1984"/>
        <w:gridCol w:w="5669"/>
        <w:gridCol w:w="2551"/>
      </w:tblGrid>
      <w:tr w:rsidR="008E0D1D" w14:paraId="565E9E04" w14:textId="77777777" w:rsidTr="008E0D1D">
        <w:trPr>
          <w:cnfStyle w:val="100000000000" w:firstRow="1" w:lastRow="0" w:firstColumn="0" w:lastColumn="0" w:oddVBand="0" w:evenVBand="0" w:oddHBand="0" w:evenHBand="0" w:firstRowFirstColumn="0" w:firstRowLastColumn="0" w:lastRowFirstColumn="0" w:lastRowLastColumn="0"/>
          <w:tblHeader/>
        </w:trPr>
        <w:tc>
          <w:tcPr>
            <w:tcW w:w="1984" w:type="dxa"/>
            <w:vAlign w:val="bottom"/>
          </w:tcPr>
          <w:p w14:paraId="015B3D74" w14:textId="77777777" w:rsidR="008E0D1D" w:rsidRDefault="001D0A7B">
            <w:pPr>
              <w:pBdr>
                <w:top w:val="nil"/>
                <w:left w:val="nil"/>
                <w:bottom w:val="nil"/>
                <w:right w:val="nil"/>
                <w:between w:val="nil"/>
              </w:pBdr>
              <w:rPr>
                <w:b w:val="0"/>
                <w:color w:val="000000"/>
              </w:rPr>
            </w:pPr>
            <w:r>
              <w:rPr>
                <w:color w:val="000000"/>
              </w:rPr>
              <w:t>Sustainability Report Name</w:t>
            </w:r>
          </w:p>
        </w:tc>
        <w:tc>
          <w:tcPr>
            <w:tcW w:w="5669" w:type="dxa"/>
            <w:vAlign w:val="bottom"/>
          </w:tcPr>
          <w:p w14:paraId="24512D16" w14:textId="77777777" w:rsidR="008E0D1D" w:rsidRDefault="001D0A7B">
            <w:pPr>
              <w:pBdr>
                <w:top w:val="nil"/>
                <w:left w:val="nil"/>
                <w:bottom w:val="nil"/>
                <w:right w:val="nil"/>
                <w:between w:val="nil"/>
              </w:pBdr>
              <w:rPr>
                <w:b w:val="0"/>
                <w:color w:val="000000"/>
              </w:rPr>
            </w:pPr>
            <w:r>
              <w:rPr>
                <w:color w:val="000000"/>
              </w:rPr>
              <w:t>Content of Report</w:t>
            </w:r>
          </w:p>
        </w:tc>
        <w:tc>
          <w:tcPr>
            <w:tcW w:w="2551" w:type="dxa"/>
            <w:vAlign w:val="bottom"/>
          </w:tcPr>
          <w:p w14:paraId="593B6355" w14:textId="77777777" w:rsidR="008E0D1D" w:rsidRDefault="001D0A7B">
            <w:pPr>
              <w:pBdr>
                <w:top w:val="nil"/>
                <w:left w:val="nil"/>
                <w:bottom w:val="nil"/>
                <w:right w:val="nil"/>
                <w:between w:val="nil"/>
              </w:pBdr>
              <w:rPr>
                <w:b w:val="0"/>
                <w:color w:val="000000"/>
              </w:rPr>
            </w:pPr>
            <w:r>
              <w:rPr>
                <w:color w:val="000000"/>
              </w:rPr>
              <w:t>Frequency of Report</w:t>
            </w:r>
          </w:p>
        </w:tc>
      </w:tr>
      <w:tr w:rsidR="008E0D1D" w14:paraId="64D82CC6" w14:textId="77777777" w:rsidTr="008E0D1D">
        <w:tc>
          <w:tcPr>
            <w:tcW w:w="1984" w:type="dxa"/>
          </w:tcPr>
          <w:p w14:paraId="06E0D16E" w14:textId="77777777" w:rsidR="008E0D1D" w:rsidRDefault="001D0A7B">
            <w:pPr>
              <w:pBdr>
                <w:top w:val="nil"/>
                <w:left w:val="nil"/>
                <w:bottom w:val="nil"/>
                <w:right w:val="nil"/>
                <w:between w:val="nil"/>
              </w:pBdr>
              <w:rPr>
                <w:b/>
                <w:color w:val="000000"/>
              </w:rPr>
            </w:pPr>
            <w:r>
              <w:rPr>
                <w:b/>
                <w:color w:val="000000"/>
              </w:rPr>
              <w:t>Sustainability and Environmental Management</w:t>
            </w:r>
          </w:p>
        </w:tc>
        <w:tc>
          <w:tcPr>
            <w:tcW w:w="5669" w:type="dxa"/>
          </w:tcPr>
          <w:p w14:paraId="79CF117E" w14:textId="77777777" w:rsidR="008E0D1D" w:rsidRDefault="001D0A7B">
            <w:pPr>
              <w:pBdr>
                <w:top w:val="nil"/>
                <w:left w:val="nil"/>
                <w:bottom w:val="nil"/>
                <w:right w:val="nil"/>
                <w:between w:val="nil"/>
              </w:pBdr>
              <w:rPr>
                <w:color w:val="000000"/>
              </w:rPr>
            </w:pPr>
            <w:r>
              <w:rPr>
                <w:color w:val="000000"/>
              </w:rPr>
              <w:t xml:space="preserve">Supplier’s </w:t>
            </w:r>
            <w:r>
              <w:t>corporate</w:t>
            </w:r>
            <w:r>
              <w:rPr>
                <w:color w:val="000000"/>
              </w:rPr>
              <w:t xml:space="preserve"> annual sustainable and environmental management report covering goals, targets and progress for biodiversity, carbon, pollution and waste reduction, and water usage</w:t>
            </w:r>
          </w:p>
        </w:tc>
        <w:tc>
          <w:tcPr>
            <w:tcW w:w="2551" w:type="dxa"/>
          </w:tcPr>
          <w:p w14:paraId="17DF193E" w14:textId="77777777" w:rsidR="008E0D1D" w:rsidRDefault="001D0A7B">
            <w:pPr>
              <w:pBdr>
                <w:top w:val="nil"/>
                <w:left w:val="nil"/>
                <w:bottom w:val="nil"/>
                <w:right w:val="nil"/>
                <w:between w:val="nil"/>
              </w:pBdr>
              <w:rPr>
                <w:color w:val="000000"/>
              </w:rPr>
            </w:pPr>
            <w:r>
              <w:rPr>
                <w:color w:val="000000"/>
              </w:rPr>
              <w:t>Annual</w:t>
            </w:r>
          </w:p>
        </w:tc>
      </w:tr>
    </w:tbl>
    <w:p w14:paraId="543A8C2F" w14:textId="77777777" w:rsidR="008E0D1D" w:rsidRDefault="008E0D1D"/>
    <w:sectPr w:rsidR="008E0D1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79489" w14:textId="77777777" w:rsidR="00AD7CF9" w:rsidRDefault="00AD7CF9" w:rsidP="00A364F8">
      <w:r>
        <w:separator/>
      </w:r>
    </w:p>
  </w:endnote>
  <w:endnote w:type="continuationSeparator" w:id="0">
    <w:p w14:paraId="047DFA8E" w14:textId="77777777" w:rsidR="00AD7CF9" w:rsidRDefault="00AD7CF9" w:rsidP="00A36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F4791" w14:textId="77777777" w:rsidR="00A364F8" w:rsidRDefault="00A364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3A90D" w14:textId="77777777" w:rsidR="00A364F8" w:rsidRDefault="00A364F8" w:rsidP="00A364F8">
    <w:pPr>
      <w:tabs>
        <w:tab w:val="center" w:pos="4513"/>
        <w:tab w:val="right" w:pos="9026"/>
      </w:tabs>
      <w:rPr>
        <w:sz w:val="20"/>
        <w:szCs w:val="20"/>
      </w:rPr>
    </w:pPr>
    <w:r>
      <w:rPr>
        <w:sz w:val="20"/>
        <w:szCs w:val="20"/>
      </w:rPr>
      <w:t>DPS Ref: RM6219 Learning and Training</w:t>
    </w:r>
  </w:p>
  <w:p w14:paraId="3CA91FF4" w14:textId="77777777" w:rsidR="00A364F8" w:rsidRDefault="00A364F8" w:rsidP="00A364F8">
    <w:pPr>
      <w:tabs>
        <w:tab w:val="center" w:pos="4513"/>
        <w:tab w:val="right" w:pos="9026"/>
      </w:tabs>
      <w:rPr>
        <w:sz w:val="20"/>
        <w:szCs w:val="20"/>
      </w:rPr>
    </w:pPr>
    <w:r>
      <w:rPr>
        <w:sz w:val="20"/>
        <w:szCs w:val="20"/>
      </w:rPr>
      <w:t>Project Version: v1.0</w:t>
    </w:r>
  </w:p>
  <w:p w14:paraId="3F3BB160" w14:textId="77777777" w:rsidR="00A364F8" w:rsidRDefault="00A364F8" w:rsidP="00A364F8">
    <w:pPr>
      <w:pBdr>
        <w:top w:val="nil"/>
        <w:left w:val="nil"/>
        <w:bottom w:val="nil"/>
        <w:right w:val="nil"/>
        <w:between w:val="nil"/>
      </w:pBdr>
      <w:tabs>
        <w:tab w:val="center" w:pos="4513"/>
        <w:tab w:val="right" w:pos="9026"/>
      </w:tabs>
      <w:rPr>
        <w:color w:val="000000"/>
        <w:sz w:val="20"/>
        <w:szCs w:val="20"/>
      </w:rPr>
    </w:pPr>
    <w:r>
      <w:rPr>
        <w:color w:val="000000"/>
        <w:sz w:val="20"/>
        <w:szCs w:val="20"/>
      </w:rPr>
      <w:t>Model Version: v1.0</w:t>
    </w:r>
  </w:p>
  <w:p w14:paraId="5228C678" w14:textId="77777777" w:rsidR="00A364F8" w:rsidRDefault="00A364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B724B" w14:textId="77777777" w:rsidR="00A364F8" w:rsidRDefault="00A364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8D2E8" w14:textId="77777777" w:rsidR="00AD7CF9" w:rsidRDefault="00AD7CF9" w:rsidP="00A364F8">
      <w:r>
        <w:separator/>
      </w:r>
    </w:p>
  </w:footnote>
  <w:footnote w:type="continuationSeparator" w:id="0">
    <w:p w14:paraId="6191AF6A" w14:textId="77777777" w:rsidR="00AD7CF9" w:rsidRDefault="00AD7CF9" w:rsidP="00A36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79897" w14:textId="77777777" w:rsidR="00A364F8" w:rsidRDefault="00A364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E378C" w14:textId="30A30730" w:rsidR="00A364F8" w:rsidRDefault="00A364F8" w:rsidP="00A364F8">
    <w:pPr>
      <w:pBdr>
        <w:top w:val="nil"/>
        <w:left w:val="nil"/>
        <w:bottom w:val="nil"/>
        <w:right w:val="nil"/>
        <w:between w:val="nil"/>
      </w:pBdr>
      <w:tabs>
        <w:tab w:val="center" w:pos="4513"/>
        <w:tab w:val="right" w:pos="9026"/>
      </w:tabs>
      <w:rPr>
        <w:color w:val="000000"/>
        <w:sz w:val="20"/>
        <w:szCs w:val="20"/>
      </w:rPr>
    </w:pPr>
    <w:r>
      <w:rPr>
        <w:color w:val="000000"/>
        <w:sz w:val="20"/>
        <w:szCs w:val="20"/>
      </w:rPr>
      <w:t xml:space="preserve">Order Schedule 20 (Order Specification) SOR Annex </w:t>
    </w:r>
    <w:r>
      <w:rPr>
        <w:color w:val="000000"/>
        <w:sz w:val="20"/>
        <w:szCs w:val="20"/>
      </w:rPr>
      <w:t>F</w:t>
    </w:r>
  </w:p>
  <w:p w14:paraId="49F5F7C9" w14:textId="77777777" w:rsidR="00A364F8" w:rsidRDefault="00A364F8" w:rsidP="00A364F8">
    <w:pPr>
      <w:pBdr>
        <w:top w:val="nil"/>
        <w:left w:val="nil"/>
        <w:bottom w:val="nil"/>
        <w:right w:val="nil"/>
        <w:between w:val="nil"/>
      </w:pBdr>
      <w:tabs>
        <w:tab w:val="center" w:pos="4513"/>
        <w:tab w:val="right" w:pos="9026"/>
      </w:tabs>
      <w:rPr>
        <w:color w:val="000000"/>
        <w:sz w:val="20"/>
        <w:szCs w:val="20"/>
      </w:rPr>
    </w:pPr>
    <w:r>
      <w:rPr>
        <w:color w:val="000000"/>
        <w:sz w:val="20"/>
        <w:szCs w:val="20"/>
      </w:rPr>
      <w:t>Order Ref:</w:t>
    </w:r>
  </w:p>
  <w:p w14:paraId="7C2FB2A8" w14:textId="77777777" w:rsidR="00A364F8" w:rsidRDefault="00A364F8" w:rsidP="00A364F8">
    <w:pPr>
      <w:pBdr>
        <w:top w:val="nil"/>
        <w:left w:val="nil"/>
        <w:bottom w:val="nil"/>
        <w:right w:val="nil"/>
        <w:between w:val="nil"/>
      </w:pBdr>
      <w:tabs>
        <w:tab w:val="center" w:pos="4513"/>
        <w:tab w:val="right" w:pos="9026"/>
      </w:tabs>
      <w:rPr>
        <w:color w:val="000000"/>
        <w:sz w:val="20"/>
        <w:szCs w:val="20"/>
      </w:rPr>
    </w:pPr>
    <w:r>
      <w:rPr>
        <w:color w:val="000000"/>
        <w:sz w:val="20"/>
        <w:szCs w:val="20"/>
      </w:rPr>
      <w:t>Crown Copyright 20</w:t>
    </w:r>
    <w:r>
      <w:rPr>
        <w:sz w:val="20"/>
        <w:szCs w:val="20"/>
      </w:rPr>
      <w:t>21</w:t>
    </w:r>
  </w:p>
  <w:p w14:paraId="59502E5D" w14:textId="77777777" w:rsidR="00A364F8" w:rsidRDefault="00A364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33545" w14:textId="77777777" w:rsidR="00A364F8" w:rsidRDefault="00A36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C5A07"/>
    <w:multiLevelType w:val="multilevel"/>
    <w:tmpl w:val="15E8C7B2"/>
    <w:lvl w:ilvl="0">
      <w:start w:val="1"/>
      <w:numFmt w:val="lowerLetter"/>
      <w:lvlText w:val="(%1)"/>
      <w:lvlJc w:val="left"/>
      <w:pPr>
        <w:ind w:left="720" w:hanging="720"/>
      </w:pPr>
      <w:rPr>
        <w:b w:val="0"/>
        <w:i w:val="0"/>
        <w:color w:val="000000"/>
      </w:rPr>
    </w:lvl>
    <w:lvl w:ilvl="1">
      <w:start w:val="1"/>
      <w:numFmt w:val="lowerRoman"/>
      <w:lvlText w:val="(%2)"/>
      <w:lvlJc w:val="left"/>
      <w:pPr>
        <w:ind w:left="1440" w:hanging="720"/>
      </w:pPr>
      <w:rPr>
        <w:color w:val="000000"/>
      </w:rPr>
    </w:lvl>
    <w:lvl w:ilvl="2">
      <w:start w:val="1"/>
      <w:numFmt w:val="decimal"/>
      <w:lvlText w:val="(%3)"/>
      <w:lvlJc w:val="left"/>
      <w:pPr>
        <w:ind w:left="2880" w:hanging="720"/>
      </w:pPr>
      <w:rPr>
        <w:color w:val="000000"/>
      </w:rPr>
    </w:lvl>
    <w:lvl w:ilvl="3">
      <w:start w:val="1"/>
      <w:numFmt w:val="upperLetter"/>
      <w:lvlText w:val="(%4)"/>
      <w:lvlJc w:val="left"/>
      <w:pPr>
        <w:ind w:left="2880" w:firstLine="720"/>
      </w:pPr>
    </w:lvl>
    <w:lvl w:ilvl="4">
      <w:start w:val="1"/>
      <w:numFmt w:val="decimal"/>
      <w:lvlText w:val=""/>
      <w:lvlJc w:val="left"/>
      <w:pPr>
        <w:ind w:left="5040" w:hanging="720"/>
      </w:pPr>
      <w:rPr>
        <w:color w:val="000000"/>
      </w:rPr>
    </w:lvl>
    <w:lvl w:ilvl="5">
      <w:start w:val="1"/>
      <w:numFmt w:val="decimal"/>
      <w:lvlText w:val=""/>
      <w:lvlJc w:val="left"/>
      <w:pPr>
        <w:ind w:left="5760" w:hanging="720"/>
      </w:pPr>
    </w:lvl>
    <w:lvl w:ilvl="6">
      <w:start w:val="1"/>
      <w:numFmt w:val="decimal"/>
      <w:lvlText w:val=""/>
      <w:lvlJc w:val="left"/>
      <w:pPr>
        <w:ind w:left="6480" w:hanging="720"/>
      </w:pPr>
    </w:lvl>
    <w:lvl w:ilvl="7">
      <w:start w:val="1"/>
      <w:numFmt w:val="decimal"/>
      <w:lvlText w:val=""/>
      <w:lvlJc w:val="left"/>
      <w:pPr>
        <w:ind w:left="7200" w:hanging="720"/>
      </w:pPr>
    </w:lvl>
    <w:lvl w:ilvl="8">
      <w:start w:val="1"/>
      <w:numFmt w:val="decimal"/>
      <w:lvlText w:val=""/>
      <w:lvlJc w:val="left"/>
      <w:pPr>
        <w:ind w:left="7920" w:hanging="720"/>
      </w:pPr>
    </w:lvl>
  </w:abstractNum>
  <w:abstractNum w:abstractNumId="1" w15:restartNumberingAfterBreak="0">
    <w:nsid w:val="20B161F8"/>
    <w:multiLevelType w:val="multilevel"/>
    <w:tmpl w:val="694AADD0"/>
    <w:lvl w:ilvl="0">
      <w:start w:val="1"/>
      <w:numFmt w:val="lowerLetter"/>
      <w:lvlText w:val="(%1)"/>
      <w:lvlJc w:val="left"/>
      <w:pPr>
        <w:ind w:left="720" w:hanging="720"/>
      </w:pPr>
      <w:rPr>
        <w:b w:val="0"/>
        <w:i w:val="0"/>
        <w:color w:val="000000"/>
      </w:rPr>
    </w:lvl>
    <w:lvl w:ilvl="1">
      <w:start w:val="1"/>
      <w:numFmt w:val="lowerRoman"/>
      <w:lvlText w:val="(%2)"/>
      <w:lvlJc w:val="left"/>
      <w:pPr>
        <w:ind w:left="1440" w:hanging="720"/>
      </w:pPr>
      <w:rPr>
        <w:color w:val="000000"/>
      </w:rPr>
    </w:lvl>
    <w:lvl w:ilvl="2">
      <w:start w:val="1"/>
      <w:numFmt w:val="decimal"/>
      <w:lvlText w:val="(%3)"/>
      <w:lvlJc w:val="left"/>
      <w:pPr>
        <w:ind w:left="2880" w:hanging="720"/>
      </w:pPr>
      <w:rPr>
        <w:color w:val="000000"/>
      </w:rPr>
    </w:lvl>
    <w:lvl w:ilvl="3">
      <w:start w:val="1"/>
      <w:numFmt w:val="upperLetter"/>
      <w:lvlText w:val="(%4)"/>
      <w:lvlJc w:val="left"/>
      <w:pPr>
        <w:ind w:left="2880" w:firstLine="720"/>
      </w:pPr>
    </w:lvl>
    <w:lvl w:ilvl="4">
      <w:start w:val="1"/>
      <w:numFmt w:val="decimal"/>
      <w:lvlText w:val=""/>
      <w:lvlJc w:val="left"/>
      <w:pPr>
        <w:ind w:left="5040" w:hanging="720"/>
      </w:pPr>
      <w:rPr>
        <w:color w:val="000000"/>
      </w:rPr>
    </w:lvl>
    <w:lvl w:ilvl="5">
      <w:start w:val="1"/>
      <w:numFmt w:val="decimal"/>
      <w:lvlText w:val=""/>
      <w:lvlJc w:val="left"/>
      <w:pPr>
        <w:ind w:left="5760" w:hanging="720"/>
      </w:pPr>
    </w:lvl>
    <w:lvl w:ilvl="6">
      <w:start w:val="1"/>
      <w:numFmt w:val="decimal"/>
      <w:lvlText w:val=""/>
      <w:lvlJc w:val="left"/>
      <w:pPr>
        <w:ind w:left="6480" w:hanging="720"/>
      </w:pPr>
    </w:lvl>
    <w:lvl w:ilvl="7">
      <w:start w:val="1"/>
      <w:numFmt w:val="decimal"/>
      <w:lvlText w:val=""/>
      <w:lvlJc w:val="left"/>
      <w:pPr>
        <w:ind w:left="7200" w:hanging="720"/>
      </w:pPr>
    </w:lvl>
    <w:lvl w:ilvl="8">
      <w:start w:val="1"/>
      <w:numFmt w:val="decimal"/>
      <w:lvlText w:val=""/>
      <w:lvlJc w:val="left"/>
      <w:pPr>
        <w:ind w:left="7920" w:hanging="720"/>
      </w:pPr>
    </w:lvl>
  </w:abstractNum>
  <w:abstractNum w:abstractNumId="2" w15:restartNumberingAfterBreak="0">
    <w:nsid w:val="36BE5B22"/>
    <w:multiLevelType w:val="multilevel"/>
    <w:tmpl w:val="03CE4E02"/>
    <w:lvl w:ilvl="0">
      <w:start w:val="1"/>
      <w:numFmt w:val="decimal"/>
      <w:pStyle w:val="AppendixText1"/>
      <w:lvlText w:val="%1."/>
      <w:lvlJc w:val="left"/>
      <w:pPr>
        <w:ind w:left="720" w:hanging="720"/>
      </w:pPr>
      <w:rPr>
        <w:color w:val="000000"/>
      </w:rPr>
    </w:lvl>
    <w:lvl w:ilvl="1">
      <w:start w:val="1"/>
      <w:numFmt w:val="decimal"/>
      <w:pStyle w:val="AppendixText2"/>
      <w:lvlText w:val="%1.%2"/>
      <w:lvlJc w:val="left"/>
      <w:pPr>
        <w:ind w:left="720" w:hanging="720"/>
      </w:pPr>
      <w:rPr>
        <w:b w:val="0"/>
      </w:rPr>
    </w:lvl>
    <w:lvl w:ilvl="2">
      <w:start w:val="1"/>
      <w:numFmt w:val="decimal"/>
      <w:pStyle w:val="AppendixText3"/>
      <w:lvlText w:val="%1.%2.%3"/>
      <w:lvlJc w:val="left"/>
      <w:pPr>
        <w:ind w:left="1800" w:hanging="1080"/>
      </w:pPr>
    </w:lvl>
    <w:lvl w:ilvl="3">
      <w:start w:val="1"/>
      <w:numFmt w:val="lowerLetter"/>
      <w:pStyle w:val="AppendixText4"/>
      <w:lvlText w:val="(%4)"/>
      <w:lvlJc w:val="left"/>
      <w:pPr>
        <w:ind w:left="2520" w:hanging="720"/>
      </w:pPr>
    </w:lvl>
    <w:lvl w:ilvl="4">
      <w:start w:val="1"/>
      <w:numFmt w:val="decimal"/>
      <w:pStyle w:val="AppendixText5"/>
      <w:lvlText w:val="%5."/>
      <w:lvlJc w:val="left"/>
      <w:pPr>
        <w:ind w:left="3600" w:hanging="720"/>
      </w:pPr>
    </w:lvl>
    <w:lvl w:ilvl="5">
      <w:start w:val="1"/>
      <w:numFmt w:val="decimal"/>
      <w:pStyle w:val="AppendixText6"/>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3" w15:restartNumberingAfterBreak="0">
    <w:nsid w:val="391F1962"/>
    <w:multiLevelType w:val="multilevel"/>
    <w:tmpl w:val="1652BC60"/>
    <w:lvl w:ilvl="0">
      <w:start w:val="1"/>
      <w:numFmt w:val="lowerLetter"/>
      <w:lvlText w:val="(%1)"/>
      <w:lvlJc w:val="left"/>
      <w:pPr>
        <w:ind w:left="720" w:hanging="720"/>
      </w:pPr>
      <w:rPr>
        <w:b w:val="0"/>
        <w:i w:val="0"/>
        <w:color w:val="000000"/>
      </w:rPr>
    </w:lvl>
    <w:lvl w:ilvl="1">
      <w:start w:val="1"/>
      <w:numFmt w:val="lowerRoman"/>
      <w:lvlText w:val="(%2)"/>
      <w:lvlJc w:val="left"/>
      <w:pPr>
        <w:ind w:left="1440" w:hanging="720"/>
      </w:pPr>
      <w:rPr>
        <w:color w:val="000000"/>
      </w:rPr>
    </w:lvl>
    <w:lvl w:ilvl="2">
      <w:start w:val="1"/>
      <w:numFmt w:val="decimal"/>
      <w:lvlText w:val="(%3)"/>
      <w:lvlJc w:val="left"/>
      <w:pPr>
        <w:ind w:left="2880" w:hanging="720"/>
      </w:pPr>
      <w:rPr>
        <w:color w:val="000000"/>
      </w:rPr>
    </w:lvl>
    <w:lvl w:ilvl="3">
      <w:start w:val="1"/>
      <w:numFmt w:val="upperLetter"/>
      <w:lvlText w:val="(%4)"/>
      <w:lvlJc w:val="left"/>
      <w:pPr>
        <w:ind w:left="2880" w:firstLine="720"/>
      </w:pPr>
    </w:lvl>
    <w:lvl w:ilvl="4">
      <w:start w:val="1"/>
      <w:numFmt w:val="decimal"/>
      <w:lvlText w:val=""/>
      <w:lvlJc w:val="left"/>
      <w:pPr>
        <w:ind w:left="5040" w:hanging="720"/>
      </w:pPr>
      <w:rPr>
        <w:color w:val="000000"/>
      </w:rPr>
    </w:lvl>
    <w:lvl w:ilvl="5">
      <w:start w:val="1"/>
      <w:numFmt w:val="decimal"/>
      <w:lvlText w:val=""/>
      <w:lvlJc w:val="left"/>
      <w:pPr>
        <w:ind w:left="5760" w:hanging="720"/>
      </w:pPr>
    </w:lvl>
    <w:lvl w:ilvl="6">
      <w:start w:val="1"/>
      <w:numFmt w:val="decimal"/>
      <w:lvlText w:val=""/>
      <w:lvlJc w:val="left"/>
      <w:pPr>
        <w:ind w:left="6480" w:hanging="720"/>
      </w:pPr>
    </w:lvl>
    <w:lvl w:ilvl="7">
      <w:start w:val="1"/>
      <w:numFmt w:val="decimal"/>
      <w:lvlText w:val=""/>
      <w:lvlJc w:val="left"/>
      <w:pPr>
        <w:ind w:left="7200" w:hanging="720"/>
      </w:pPr>
    </w:lvl>
    <w:lvl w:ilvl="8">
      <w:start w:val="1"/>
      <w:numFmt w:val="decimal"/>
      <w:lvlText w:val=""/>
      <w:lvlJc w:val="left"/>
      <w:pPr>
        <w:ind w:left="7920" w:hanging="720"/>
      </w:pPr>
    </w:lvl>
  </w:abstractNum>
  <w:abstractNum w:abstractNumId="4" w15:restartNumberingAfterBreak="0">
    <w:nsid w:val="494A5D46"/>
    <w:multiLevelType w:val="multilevel"/>
    <w:tmpl w:val="FDF8DA48"/>
    <w:lvl w:ilvl="0">
      <w:start w:val="1"/>
      <w:numFmt w:val="lowerLetter"/>
      <w:pStyle w:val="DefinitionList"/>
      <w:lvlText w:val="(%1)"/>
      <w:lvlJc w:val="left"/>
      <w:pPr>
        <w:ind w:left="720" w:hanging="720"/>
      </w:pPr>
      <w:rPr>
        <w:b w:val="0"/>
        <w:i w:val="0"/>
        <w:color w:val="000000"/>
      </w:rPr>
    </w:lvl>
    <w:lvl w:ilvl="1">
      <w:start w:val="1"/>
      <w:numFmt w:val="lowerRoman"/>
      <w:pStyle w:val="DefinitionListLevel1"/>
      <w:lvlText w:val="(%2)"/>
      <w:lvlJc w:val="left"/>
      <w:pPr>
        <w:ind w:left="1440" w:hanging="720"/>
      </w:pPr>
      <w:rPr>
        <w:color w:val="000000"/>
      </w:rPr>
    </w:lvl>
    <w:lvl w:ilvl="2">
      <w:start w:val="1"/>
      <w:numFmt w:val="decimal"/>
      <w:pStyle w:val="DefinitionListLevel2"/>
      <w:lvlText w:val="(%3)"/>
      <w:lvlJc w:val="left"/>
      <w:pPr>
        <w:ind w:left="2880" w:hanging="720"/>
      </w:pPr>
      <w:rPr>
        <w:color w:val="000000"/>
      </w:rPr>
    </w:lvl>
    <w:lvl w:ilvl="3">
      <w:start w:val="1"/>
      <w:numFmt w:val="upperLetter"/>
      <w:lvlText w:val="(%4)"/>
      <w:lvlJc w:val="left"/>
      <w:pPr>
        <w:ind w:left="2880" w:firstLine="720"/>
      </w:pPr>
    </w:lvl>
    <w:lvl w:ilvl="4">
      <w:start w:val="1"/>
      <w:numFmt w:val="decimal"/>
      <w:lvlText w:val=""/>
      <w:lvlJc w:val="left"/>
      <w:pPr>
        <w:ind w:left="5040" w:hanging="720"/>
      </w:pPr>
      <w:rPr>
        <w:color w:val="000000"/>
      </w:rPr>
    </w:lvl>
    <w:lvl w:ilvl="5">
      <w:start w:val="1"/>
      <w:numFmt w:val="decimal"/>
      <w:lvlText w:val=""/>
      <w:lvlJc w:val="left"/>
      <w:pPr>
        <w:ind w:left="5760" w:hanging="720"/>
      </w:pPr>
    </w:lvl>
    <w:lvl w:ilvl="6">
      <w:start w:val="1"/>
      <w:numFmt w:val="decimal"/>
      <w:lvlText w:val=""/>
      <w:lvlJc w:val="left"/>
      <w:pPr>
        <w:ind w:left="6480" w:hanging="720"/>
      </w:pPr>
    </w:lvl>
    <w:lvl w:ilvl="7">
      <w:start w:val="1"/>
      <w:numFmt w:val="decimal"/>
      <w:lvlText w:val=""/>
      <w:lvlJc w:val="left"/>
      <w:pPr>
        <w:ind w:left="7200" w:hanging="720"/>
      </w:pPr>
    </w:lvl>
    <w:lvl w:ilvl="8">
      <w:start w:val="1"/>
      <w:numFmt w:val="decimal"/>
      <w:lvlText w:val=""/>
      <w:lvlJc w:val="left"/>
      <w:pPr>
        <w:ind w:left="7920" w:hanging="720"/>
      </w:pPr>
    </w:lvl>
  </w:abstractNum>
  <w:abstractNum w:abstractNumId="5" w15:restartNumberingAfterBreak="0">
    <w:nsid w:val="5D7515FA"/>
    <w:multiLevelType w:val="multilevel"/>
    <w:tmpl w:val="BD26EC5C"/>
    <w:lvl w:ilvl="0">
      <w:start w:val="1"/>
      <w:numFmt w:val="lowerLetter"/>
      <w:lvlText w:val="(%1)"/>
      <w:lvlJc w:val="left"/>
      <w:pPr>
        <w:ind w:left="720" w:hanging="720"/>
      </w:pPr>
      <w:rPr>
        <w:b w:val="0"/>
        <w:i w:val="0"/>
        <w:color w:val="000000"/>
      </w:rPr>
    </w:lvl>
    <w:lvl w:ilvl="1">
      <w:start w:val="1"/>
      <w:numFmt w:val="lowerRoman"/>
      <w:lvlText w:val="(%2)"/>
      <w:lvlJc w:val="left"/>
      <w:pPr>
        <w:ind w:left="1440" w:hanging="720"/>
      </w:pPr>
      <w:rPr>
        <w:color w:val="000000"/>
      </w:rPr>
    </w:lvl>
    <w:lvl w:ilvl="2">
      <w:start w:val="1"/>
      <w:numFmt w:val="decimal"/>
      <w:lvlText w:val="(%3)"/>
      <w:lvlJc w:val="left"/>
      <w:pPr>
        <w:ind w:left="2880" w:hanging="720"/>
      </w:pPr>
      <w:rPr>
        <w:color w:val="000000"/>
      </w:rPr>
    </w:lvl>
    <w:lvl w:ilvl="3">
      <w:start w:val="1"/>
      <w:numFmt w:val="upperLetter"/>
      <w:lvlText w:val="(%4)"/>
      <w:lvlJc w:val="left"/>
      <w:pPr>
        <w:ind w:left="2880" w:firstLine="720"/>
      </w:pPr>
    </w:lvl>
    <w:lvl w:ilvl="4">
      <w:start w:val="1"/>
      <w:numFmt w:val="decimal"/>
      <w:lvlText w:val=""/>
      <w:lvlJc w:val="left"/>
      <w:pPr>
        <w:ind w:left="5040" w:hanging="720"/>
      </w:pPr>
      <w:rPr>
        <w:color w:val="000000"/>
      </w:rPr>
    </w:lvl>
    <w:lvl w:ilvl="5">
      <w:start w:val="1"/>
      <w:numFmt w:val="decimal"/>
      <w:lvlText w:val=""/>
      <w:lvlJc w:val="left"/>
      <w:pPr>
        <w:ind w:left="5760" w:hanging="720"/>
      </w:pPr>
    </w:lvl>
    <w:lvl w:ilvl="6">
      <w:start w:val="1"/>
      <w:numFmt w:val="decimal"/>
      <w:lvlText w:val=""/>
      <w:lvlJc w:val="left"/>
      <w:pPr>
        <w:ind w:left="6480" w:hanging="720"/>
      </w:pPr>
    </w:lvl>
    <w:lvl w:ilvl="7">
      <w:start w:val="1"/>
      <w:numFmt w:val="decimal"/>
      <w:lvlText w:val=""/>
      <w:lvlJc w:val="left"/>
      <w:pPr>
        <w:ind w:left="7200" w:hanging="720"/>
      </w:pPr>
    </w:lvl>
    <w:lvl w:ilvl="8">
      <w:start w:val="1"/>
      <w:numFmt w:val="decimal"/>
      <w:lvlText w:val=""/>
      <w:lvlJc w:val="left"/>
      <w:pPr>
        <w:ind w:left="7920" w:hanging="720"/>
      </w:pPr>
    </w:lvl>
  </w:abstractNum>
  <w:num w:numId="1">
    <w:abstractNumId w:val="2"/>
  </w:num>
  <w:num w:numId="2">
    <w:abstractNumId w:val="0"/>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D1D"/>
    <w:rsid w:val="001D0A7B"/>
    <w:rsid w:val="008E0D1D"/>
    <w:rsid w:val="00A364F8"/>
    <w:rsid w:val="00AD7C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9605A"/>
  <w15:docId w15:val="{45F9807E-6404-41BF-BFBE-69247E382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pPr>
      <w:keepNext/>
      <w:keepLines/>
      <w:spacing w:before="200" w:after="300"/>
      <w:outlineLvl w:val="1"/>
    </w:pPr>
    <w:rPr>
      <w:rFonts w:ascii="Calibri" w:eastAsia="Calibri" w:hAnsi="Calibri" w:cs="Calibri"/>
      <w:b/>
      <w:color w:val="44546A"/>
      <w:sz w:val="32"/>
      <w:szCs w:val="32"/>
    </w:rPr>
  </w:style>
  <w:style w:type="paragraph" w:styleId="Heading3">
    <w:name w:val="heading 3"/>
    <w:basedOn w:val="Normal"/>
    <w:next w:val="Normal"/>
    <w:link w:val="Heading3Char"/>
    <w:uiPriority w:val="9"/>
    <w:unhideWhenUsed/>
    <w:qFormat/>
    <w:pPr>
      <w:keepNext/>
      <w:keepLines/>
      <w:spacing w:before="200" w:after="100"/>
      <w:outlineLvl w:val="2"/>
    </w:pPr>
    <w:rPr>
      <w:rFonts w:ascii="Calibri" w:eastAsia="Calibri" w:hAnsi="Calibri" w:cs="Calibri"/>
      <w:b/>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basedOn w:val="DefaultParagraphFont"/>
    <w:link w:val="Heading2"/>
    <w:rsid w:val="009E2535"/>
    <w:rPr>
      <w:rFonts w:asciiTheme="majorHAnsi" w:eastAsiaTheme="majorEastAsia" w:hAnsiTheme="majorHAnsi" w:cstheme="majorBidi"/>
      <w:b/>
      <w:bCs/>
      <w:color w:val="44546A" w:themeColor="text2"/>
      <w:sz w:val="32"/>
      <w:szCs w:val="26"/>
    </w:rPr>
  </w:style>
  <w:style w:type="character" w:customStyle="1" w:styleId="Heading3Char">
    <w:name w:val="Heading 3 Char"/>
    <w:basedOn w:val="DefaultParagraphFont"/>
    <w:link w:val="Heading3"/>
    <w:rsid w:val="009E2535"/>
    <w:rPr>
      <w:rFonts w:asciiTheme="majorHAnsi" w:eastAsiaTheme="majorEastAsia" w:hAnsiTheme="majorHAnsi" w:cstheme="majorBidi"/>
      <w:b/>
      <w:bCs/>
      <w:sz w:val="24"/>
      <w:szCs w:val="20"/>
    </w:rPr>
  </w:style>
  <w:style w:type="paragraph" w:customStyle="1" w:styleId="AppendixText1">
    <w:name w:val="Appendix Text 1"/>
    <w:basedOn w:val="Normal"/>
    <w:next w:val="Normal"/>
    <w:rsid w:val="009E2535"/>
    <w:pPr>
      <w:keepNext/>
      <w:numPr>
        <w:numId w:val="1"/>
      </w:numPr>
      <w:spacing w:before="100" w:after="200"/>
    </w:pPr>
    <w:rPr>
      <w:rFonts w:eastAsia="Verdana" w:cs="Times New Roman"/>
      <w:b/>
    </w:rPr>
  </w:style>
  <w:style w:type="paragraph" w:customStyle="1" w:styleId="AppendixText2">
    <w:name w:val="Appendix Text 2"/>
    <w:basedOn w:val="AppendixText1"/>
    <w:next w:val="Normal"/>
    <w:rsid w:val="009E2535"/>
    <w:pPr>
      <w:keepNext w:val="0"/>
      <w:numPr>
        <w:ilvl w:val="1"/>
      </w:numPr>
    </w:pPr>
    <w:rPr>
      <w:b w:val="0"/>
    </w:rPr>
  </w:style>
  <w:style w:type="paragraph" w:customStyle="1" w:styleId="AppendixText3">
    <w:name w:val="Appendix Text 3"/>
    <w:basedOn w:val="Normal"/>
    <w:next w:val="Normal"/>
    <w:qFormat/>
    <w:rsid w:val="009E2535"/>
    <w:pPr>
      <w:widowControl w:val="0"/>
      <w:numPr>
        <w:ilvl w:val="2"/>
        <w:numId w:val="1"/>
      </w:numPr>
      <w:autoSpaceDE w:val="0"/>
      <w:autoSpaceDN w:val="0"/>
      <w:spacing w:before="100" w:after="200"/>
    </w:pPr>
    <w:rPr>
      <w:rFonts w:eastAsia="Times New Roman" w:cs="Times New Roman"/>
    </w:rPr>
  </w:style>
  <w:style w:type="paragraph" w:customStyle="1" w:styleId="AppendixText4">
    <w:name w:val="Appendix Text 4"/>
    <w:basedOn w:val="Normal"/>
    <w:next w:val="Normal"/>
    <w:rsid w:val="009E2535"/>
    <w:pPr>
      <w:numPr>
        <w:ilvl w:val="3"/>
        <w:numId w:val="1"/>
      </w:numPr>
      <w:spacing w:before="100" w:after="200"/>
    </w:pPr>
    <w:rPr>
      <w:rFonts w:eastAsia="Times New Roman" w:cs="Times New Roman"/>
    </w:rPr>
  </w:style>
  <w:style w:type="paragraph" w:customStyle="1" w:styleId="AppendixText5">
    <w:name w:val="Appendix Text 5"/>
    <w:basedOn w:val="Normal"/>
    <w:next w:val="Normal"/>
    <w:rsid w:val="009E2535"/>
    <w:pPr>
      <w:numPr>
        <w:ilvl w:val="4"/>
        <w:numId w:val="1"/>
      </w:numPr>
      <w:tabs>
        <w:tab w:val="left" w:pos="2523"/>
      </w:tabs>
      <w:spacing w:before="100" w:after="200"/>
    </w:pPr>
    <w:rPr>
      <w:rFonts w:eastAsia="Times New Roman" w:cs="Times New Roman"/>
    </w:rPr>
  </w:style>
  <w:style w:type="paragraph" w:customStyle="1" w:styleId="StdBodyText">
    <w:name w:val="Std Body Text"/>
    <w:basedOn w:val="Normal"/>
    <w:uiPriority w:val="99"/>
    <w:qFormat/>
    <w:rsid w:val="009E2535"/>
    <w:pPr>
      <w:spacing w:before="100" w:after="200"/>
    </w:pPr>
    <w:rPr>
      <w:rFonts w:eastAsia="Times New Roman" w:cs="Times New Roman"/>
    </w:rPr>
  </w:style>
  <w:style w:type="paragraph" w:customStyle="1" w:styleId="StdBodyTextBold">
    <w:name w:val="Std Body Text Bold"/>
    <w:basedOn w:val="Normal"/>
    <w:next w:val="StdBodyText"/>
    <w:link w:val="StdBodyTextBoldChar"/>
    <w:uiPriority w:val="99"/>
    <w:qFormat/>
    <w:rsid w:val="009E2535"/>
    <w:pPr>
      <w:spacing w:before="100" w:after="200"/>
    </w:pPr>
    <w:rPr>
      <w:rFonts w:eastAsia="Times New Roman" w:cs="Times New Roman"/>
      <w:b/>
    </w:rPr>
  </w:style>
  <w:style w:type="character" w:customStyle="1" w:styleId="StdBodyTextBoldChar">
    <w:name w:val="Std Body Text Bold Char"/>
    <w:basedOn w:val="DefaultParagraphFont"/>
    <w:link w:val="StdBodyTextBold"/>
    <w:uiPriority w:val="99"/>
    <w:rsid w:val="009E2535"/>
    <w:rPr>
      <w:rFonts w:ascii="Arial" w:eastAsia="Times New Roman" w:hAnsi="Arial" w:cs="Times New Roman"/>
      <w:b/>
      <w:sz w:val="24"/>
      <w:szCs w:val="24"/>
      <w:lang w:eastAsia="en-GB"/>
    </w:rPr>
  </w:style>
  <w:style w:type="paragraph" w:customStyle="1" w:styleId="DefinitionList">
    <w:name w:val="Definition List"/>
    <w:basedOn w:val="Normal"/>
    <w:uiPriority w:val="99"/>
    <w:rsid w:val="009E2535"/>
    <w:pPr>
      <w:numPr>
        <w:numId w:val="3"/>
      </w:numPr>
      <w:spacing w:before="100" w:after="200"/>
    </w:pPr>
    <w:rPr>
      <w:rFonts w:eastAsia="Times New Roman" w:cs="Times New Roman"/>
    </w:rPr>
  </w:style>
  <w:style w:type="table" w:styleId="TableGrid">
    <w:name w:val="Table Grid"/>
    <w:basedOn w:val="TableNormal"/>
    <w:uiPriority w:val="39"/>
    <w:rsid w:val="009E253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uiPriority w:val="99"/>
    <w:rsid w:val="009E2535"/>
    <w:pPr>
      <w:numPr>
        <w:ilvl w:val="1"/>
      </w:numPr>
    </w:pPr>
  </w:style>
  <w:style w:type="paragraph" w:customStyle="1" w:styleId="DefinitionListLevel2">
    <w:name w:val="Definition List Level 2"/>
    <w:basedOn w:val="DefinitionListLevel1"/>
    <w:uiPriority w:val="99"/>
    <w:rsid w:val="009E2535"/>
    <w:pPr>
      <w:numPr>
        <w:ilvl w:val="2"/>
      </w:numPr>
    </w:pPr>
  </w:style>
  <w:style w:type="paragraph" w:customStyle="1" w:styleId="AppendixText6">
    <w:name w:val="Appendix Text 6"/>
    <w:basedOn w:val="AppendixText5"/>
    <w:rsid w:val="009E2535"/>
    <w:pPr>
      <w:numPr>
        <w:ilvl w:val="5"/>
      </w:numPr>
    </w:pPr>
  </w:style>
  <w:style w:type="character" w:styleId="Hyperlink">
    <w:name w:val="Hyperlink"/>
    <w:basedOn w:val="DefaultParagraphFont"/>
    <w:uiPriority w:val="99"/>
    <w:qFormat/>
    <w:rsid w:val="009E2535"/>
    <w:rPr>
      <w:color w:val="1F497D"/>
      <w:u w:val="dotted"/>
    </w:rPr>
  </w:style>
  <w:style w:type="table" w:customStyle="1" w:styleId="MSATable-header">
    <w:name w:val="MSA Table - header"/>
    <w:basedOn w:val="TableNormal"/>
    <w:uiPriority w:val="99"/>
    <w:rsid w:val="009E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F0F0F0"/>
      </w:tcPr>
    </w:tblStylePr>
  </w:style>
  <w:style w:type="table" w:customStyle="1" w:styleId="MSAdefinitions">
    <w:name w:val="MSA definitions"/>
    <w:basedOn w:val="TableNormal"/>
    <w:uiPriority w:val="99"/>
    <w:rsid w:val="009E2535"/>
    <w:tblPr>
      <w:tblInd w:w="624" w:type="dxa"/>
      <w:tblCellMar>
        <w:right w:w="0" w:type="dxa"/>
      </w:tblCellMar>
    </w:tblPr>
  </w:style>
  <w:style w:type="paragraph" w:customStyle="1" w:styleId="AppendixText2continued">
    <w:name w:val="Appendix Text 2 continued"/>
    <w:next w:val="AppendixText2"/>
    <w:uiPriority w:val="1"/>
    <w:semiHidden/>
    <w:rsid w:val="009E2535"/>
    <w:pPr>
      <w:spacing w:before="100" w:after="200"/>
      <w:ind w:left="709"/>
    </w:pPr>
    <w:rPr>
      <w:szCs w:val="20"/>
    </w:rPr>
  </w:style>
  <w:style w:type="paragraph" w:customStyle="1" w:styleId="AppendixText3continued">
    <w:name w:val="Appendix Text 3 continued"/>
    <w:basedOn w:val="AppendixText3"/>
    <w:uiPriority w:val="1"/>
    <w:semiHidden/>
    <w:rsid w:val="009E2535"/>
    <w:pPr>
      <w:numPr>
        <w:ilvl w:val="0"/>
        <w:numId w:val="0"/>
      </w:numPr>
      <w:ind w:left="1803"/>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right w:w="0" w:type="dxa"/>
      </w:tblCellMar>
    </w:tblPr>
  </w:style>
  <w:style w:type="table" w:customStyle="1" w:styleId="a0">
    <w:basedOn w:val="TableNormal"/>
    <w:rPr>
      <w:sz w:val="20"/>
      <w:szCs w:val="20"/>
    </w:rPr>
    <w:tblPr>
      <w:tblStyleRowBandSize w:val="1"/>
      <w:tblStyleColBandSize w:val="1"/>
      <w:tblCellMar>
        <w:top w:w="57" w:type="dxa"/>
        <w:left w:w="57" w:type="dxa"/>
        <w:bottom w:w="57" w:type="dxa"/>
        <w:right w:w="57" w:type="dxa"/>
      </w:tblCellMar>
    </w:tblPr>
  </w:style>
  <w:style w:type="table" w:customStyle="1" w:styleId="a1">
    <w:basedOn w:val="TableNormal"/>
    <w:rPr>
      <w:sz w:val="20"/>
      <w:szCs w:val="20"/>
    </w:rPr>
    <w:tblPr>
      <w:tblStyleRowBandSize w:val="1"/>
      <w:tblStyleColBandSize w:val="1"/>
      <w:tblCellMar>
        <w:top w:w="57" w:type="dxa"/>
        <w:left w:w="57" w:type="dxa"/>
        <w:bottom w:w="57" w:type="dxa"/>
        <w:right w:w="57" w:type="dxa"/>
      </w:tblCellMar>
    </w:tblPr>
  </w:style>
  <w:style w:type="table" w:customStyle="1" w:styleId="a2">
    <w:basedOn w:val="TableNormal"/>
    <w:tblPr>
      <w:tblStyleRowBandSize w:val="1"/>
      <w:tblStyleColBandSize w:val="1"/>
      <w:tblCellMar>
        <w:top w:w="57" w:type="dxa"/>
        <w:left w:w="57" w:type="dxa"/>
        <w:bottom w:w="57" w:type="dxa"/>
        <w:right w:w="57" w:type="dxa"/>
      </w:tblCellMar>
    </w:tblPr>
    <w:tblStylePr w:type="firstRow">
      <w:rPr>
        <w:b/>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F0F0F0"/>
      </w:tcPr>
    </w:tblStylePr>
  </w:style>
  <w:style w:type="paragraph" w:styleId="Header">
    <w:name w:val="header"/>
    <w:basedOn w:val="Normal"/>
    <w:link w:val="HeaderChar"/>
    <w:uiPriority w:val="99"/>
    <w:unhideWhenUsed/>
    <w:rsid w:val="00A364F8"/>
    <w:pPr>
      <w:tabs>
        <w:tab w:val="center" w:pos="4513"/>
        <w:tab w:val="right" w:pos="9026"/>
      </w:tabs>
    </w:pPr>
  </w:style>
  <w:style w:type="character" w:customStyle="1" w:styleId="HeaderChar">
    <w:name w:val="Header Char"/>
    <w:basedOn w:val="DefaultParagraphFont"/>
    <w:link w:val="Header"/>
    <w:uiPriority w:val="99"/>
    <w:rsid w:val="00A364F8"/>
  </w:style>
  <w:style w:type="paragraph" w:styleId="Footer">
    <w:name w:val="footer"/>
    <w:basedOn w:val="Normal"/>
    <w:link w:val="FooterChar"/>
    <w:uiPriority w:val="99"/>
    <w:unhideWhenUsed/>
    <w:rsid w:val="00A364F8"/>
    <w:pPr>
      <w:tabs>
        <w:tab w:val="center" w:pos="4513"/>
        <w:tab w:val="right" w:pos="9026"/>
      </w:tabs>
    </w:pPr>
  </w:style>
  <w:style w:type="character" w:customStyle="1" w:styleId="FooterChar">
    <w:name w:val="Footer Char"/>
    <w:basedOn w:val="DefaultParagraphFont"/>
    <w:link w:val="Footer"/>
    <w:uiPriority w:val="99"/>
    <w:rsid w:val="00A36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sustainable-procurement-the-government-buying-standards-gb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1163536/Supplier_Code_of_Conduct_v3.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kG9bYW6QhJIKOIfvWsrNivi46w==">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1159</Words>
  <Characters>6612</Characters>
  <Application>Microsoft Office Word</Application>
  <DocSecurity>0</DocSecurity>
  <Lines>55</Lines>
  <Paragraphs>15</Paragraphs>
  <ScaleCrop>false</ScaleCrop>
  <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 Dooley</dc:creator>
  <cp:lastModifiedBy>Robert Card</cp:lastModifiedBy>
  <cp:revision>2</cp:revision>
  <dcterms:created xsi:type="dcterms:W3CDTF">2025-11-18T17:24:00Z</dcterms:created>
  <dcterms:modified xsi:type="dcterms:W3CDTF">2025-11-18T17:24:00Z</dcterms:modified>
</cp:coreProperties>
</file>